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567—101.209</w:t>
      </w:r>
      <w:r>
        <w:rPr>
          <w:rFonts w:ascii="Times New Roman" w:hAnsi="Times New Roman"/>
          <w:b/>
          <w:i w:val="false"/>
          <w:color w:val="000000"/>
          <w:sz w:val="22"/>
        </w:rPr>
        <w:t xml:space="preserve">(455B) </w:t>
      </w:r>
      <w:r>
        <w:rPr>
          <w:rFonts w:ascii="Times New Roman" w:hAnsi="Times New Roman"/>
          <w:b/>
          <w:i w:val="false"/>
          <w:color w:val="000000"/>
          <w:sz w:val="22"/>
        </w:rPr>
        <w:t xml:space="preserve">Monitoring system plan. </w:t>
      </w:r>
      <w:r>
        <w:rPr>
          <w:rFonts w:ascii="Times New Roman" w:hAnsi="Times New Roman"/>
          <w:b w:val="false"/>
          <w:i w:val="false"/>
          <w:color w:val="000000"/>
          <w:sz w:val="22"/>
        </w:rPr>
        <w:t xml:space="preserve">A hydrologic monitoring system shall be designed to intercept the groundwater and surface water flow paths from the landfill site, including proposed locations and depths for monitoring wells in accordance with monitoring well siting criteria in </w:t>
      </w:r>
      <w:hyperlink r:id="rId4">
        <w:r>
          <w:rPr>
            <w:rStyle w:val="Hyperlink"/>
            <w:rFonts w:ascii="Times New Roman" w:hAnsi="Times New Roman"/>
            <w:b w:val="false"/>
            <w:i w:val="false"/>
            <w:color w:val="000000"/>
            <w:sz w:val="22"/>
          </w:rPr>
          <w:t>567—101.212</w:t>
        </w:r>
      </w:hyperlink>
      <w:r>
        <w:rPr>
          <w:rFonts w:ascii="Times New Roman" w:hAnsi="Times New Roman"/>
          <w:b w:val="false"/>
          <w:i w:val="false"/>
          <w:color w:val="000000"/>
          <w:sz w:val="22"/>
        </w:rPr>
        <w:t>(455B). The surface water monitoring plan shall include monitoring points on all standing and flowing bodies of water that will receive surface runoff or groundwater discharge from the landfill site. For streams, sampling points upstream and downstream of areas of potential impact from the landfill site shall be selected. The monitoring system plan shall also include sampling protocols and monitoring well maintenance and performance reevaluation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1.212.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