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567—101.208</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hydrogeologic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101.208(1)</w:t>
      </w:r>
      <w:r>
        <w:rPr>
          <w:rFonts w:ascii="Times New Roman" w:hAnsi="Times New Roman"/>
          <w:b w:val="false"/>
          <w:i w:val="false"/>
          <w:color w:val="000000"/>
          <w:sz w:val="22"/>
        </w:rPr>
        <w:t> </w:t>
      </w:r>
      <w:r>
        <w:rPr>
          <w:rFonts w:ascii="Times New Roman" w:hAnsi="Times New Roman"/>
          <w:b w:val="false"/>
          <w:i w:val="false"/>
          <w:color w:val="000000"/>
          <w:sz w:val="22"/>
        </w:rPr>
        <w:t>Based on soil boring and other available information, a description of the landfill site geology shall be made. This description shall include preparation of geologic cross sections of sufficient number and spacing (no fewer than four at every landfill site) to adequately define all areas of the landfill site and of sufficient detail to adequately depict major stratigraphic and structural trends and reflect geologic structural features in relation to groundwater flow. Each pair of cross sections must be as near to perpendicular as possible to adequately portray the landfill site geology.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101.208(2)</w:t>
      </w:r>
      <w:r>
        <w:rPr>
          <w:rFonts w:ascii="Times New Roman" w:hAnsi="Times New Roman"/>
          <w:b w:val="false"/>
          <w:i w:val="false"/>
          <w:color w:val="000000"/>
          <w:sz w:val="22"/>
        </w:rPr>
        <w:t> </w:t>
      </w:r>
      <w:r>
        <w:rPr>
          <w:rFonts w:ascii="Times New Roman" w:hAnsi="Times New Roman"/>
          <w:b w:val="false"/>
          <w:i w:val="false"/>
          <w:color w:val="000000"/>
          <w:sz w:val="22"/>
        </w:rPr>
        <w:t>A description of the hydrogeologic unit(s) within the saturated zone shall be made, including thickness; depth; hydraulic properties, such as transmissivity and storage coefficient or specific yield; description of the role of each as confining bed, aquifer, or perched saturated zone; and its actual or potential use as a water supply aquifer.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101.208(3)</w:t>
      </w:r>
      <w:r>
        <w:rPr>
          <w:rFonts w:ascii="Times New Roman" w:hAnsi="Times New Roman"/>
          <w:b w:val="false"/>
          <w:i w:val="false"/>
          <w:color w:val="000000"/>
          <w:sz w:val="22"/>
        </w:rPr>
        <w:t> </w:t>
      </w:r>
      <w:r>
        <w:rPr>
          <w:rFonts w:ascii="Times New Roman" w:hAnsi="Times New Roman"/>
          <w:b w:val="false"/>
          <w:i w:val="false"/>
          <w:color w:val="000000"/>
          <w:sz w:val="22"/>
        </w:rPr>
        <w:t>All groundwater flow paths from the landfill site shall be identified, including both horizontal and vertical components of flow. A contour map of the water table shall be presented showing horizontal flow paths. A potentiometric surface map of the uppermost aquifer showing horizontal flow paths shall also be presented, if different from the water table. Vertical flow paths shall be shown in at least two profiles approximately parallel to the direction of horizontal flow. Vertical flow paths shall be determined by water level measurements from clustered wells at different depths if possible. An evaluation of vertical groundwater flow based on the hydrologic properties of the various strata encountered at the landfill site, estimated groundwater flow and recharge rates, and known information on hydraulic head shall also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101.208(4)</w:t>
      </w:r>
      <w:r>
        <w:rPr>
          <w:rFonts w:ascii="Times New Roman" w:hAnsi="Times New Roman"/>
          <w:b w:val="false"/>
          <w:i w:val="false"/>
          <w:color w:val="000000"/>
          <w:sz w:val="22"/>
        </w:rPr>
        <w:t> </w:t>
      </w:r>
      <w:r>
        <w:rPr>
          <w:rFonts w:ascii="Times New Roman" w:hAnsi="Times New Roman"/>
          <w:b w:val="false"/>
          <w:i w:val="false"/>
          <w:color w:val="000000"/>
          <w:sz w:val="22"/>
        </w:rPr>
        <w:t>The seasonal, temporal, and artificially induced variations in groundwater flow shall be evaluated. Temporal variations occur due to natural events, such as rainfall. The addition of tile lines, removal of overburden, or deposition of wastes would constitute artificially induced variations.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101.208(5)</w:t>
      </w:r>
      <w:r>
        <w:rPr>
          <w:rFonts w:ascii="Times New Roman" w:hAnsi="Times New Roman"/>
          <w:b w:val="false"/>
          <w:i w:val="false"/>
          <w:color w:val="000000"/>
          <w:sz w:val="22"/>
        </w:rPr>
        <w:t> </w:t>
      </w:r>
      <w:r>
        <w:rPr>
          <w:rFonts w:ascii="Times New Roman" w:hAnsi="Times New Roman"/>
          <w:b w:val="false"/>
          <w:i w:val="false"/>
          <w:color w:val="000000"/>
          <w:sz w:val="22"/>
        </w:rPr>
        <w:t>Surface water flow paths from the landfill site shall be identified on topographic contour maps.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