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567—101.205</w:t>
      </w:r>
      <w:r>
        <w:rPr>
          <w:rFonts w:ascii="Times New Roman" w:hAnsi="Times New Roman"/>
          <w:b/>
          <w:i w:val="false"/>
          <w:color w:val="000000"/>
          <w:sz w:val="22"/>
        </w:rPr>
        <w:t xml:space="preserve">(455B) </w:t>
      </w:r>
      <w:r>
        <w:rPr>
          <w:rFonts w:ascii="Times New Roman" w:hAnsi="Times New Roman"/>
          <w:b/>
          <w:i w:val="false"/>
          <w:color w:val="000000"/>
          <w:sz w:val="22"/>
        </w:rPr>
        <w:t xml:space="preserve">Soil and hydrogeologic investigations. </w:t>
      </w:r>
      <w:r>
        <w:rPr>
          <w:rFonts w:ascii="Times New Roman" w:hAnsi="Times New Roman"/>
          <w:b w:val="false"/>
          <w:i w:val="false"/>
          <w:color w:val="000000"/>
          <w:sz w:val="22"/>
        </w:rPr>
        <w:t>An industrial landfill shall have a qualified groundwater scientist conduct a soil investigation, hydrogeologic investigation, and evaluation of hydrogeologic conditions. The purpose of these investigations is to obtain data to determine potential routes of contaminant migration via groundwater. Such information is vital for development of the hydrologic monitoring system plan and design. This division sets forth the minimum requirements for this work, including reporting. An industrial landfill shall comply with this division unless the department issues written approval due to specific site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