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567—101.115</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 limitations. </w:t>
      </w:r>
      <w:r>
        <w:rPr>
          <w:rFonts w:ascii="Times New Roman" w:hAnsi="Times New Roman"/>
          <w:b w:val="false"/>
          <w:i w:val="false"/>
          <w:color w:val="000000"/>
          <w:sz w:val="22"/>
        </w:rPr>
        <w:t>Some provisions of this division are minimum standards required by federal law (including but not limited to 40 CFR 258), and waivers to such provisions shall not be granted unless they are as protective as the applicable minimum federal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