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Financial assurance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owner or operator of an MSWLF must establish financial assurance for closure, post-closure care and corrective action, if applicable, in accordance with Division VIII of this chapter.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