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567—101.113</w:t>
      </w:r>
      <w:r>
        <w:rPr>
          <w:rFonts w:ascii="Times New Roman" w:hAnsi="Times New Roman"/>
          <w:b/>
          <w:i w:val="false"/>
          <w:color w:val="000000"/>
          <w:sz w:val="22"/>
        </w:rPr>
        <w:t xml:space="preserve">(455B) </w:t>
      </w:r>
      <w:r>
        <w:rPr>
          <w:rFonts w:ascii="Times New Roman" w:hAnsi="Times New Roman"/>
          <w:b/>
          <w:i w:val="false"/>
          <w:color w:val="000000"/>
          <w:sz w:val="22"/>
        </w:rPr>
        <w:t xml:space="preserve">Post-closure care requirements. </w:t>
      </w:r>
      <w:r>
        <w:rPr>
          <w:rFonts w:ascii="Times New Roman" w:hAnsi="Times New Roman"/>
          <w:b w:val="false"/>
          <w:i w:val="false"/>
          <w:color w:val="000000"/>
          <w:sz w:val="22"/>
        </w:rPr>
        <w:t>MSWLFs shall comply with the following post-closure care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101.113(1)</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closure of each MSWLF unit, the owner or operator must conduct post-closure care. Post-closure care must be conducted for 30 years, except as provided under </w:t>
      </w:r>
      <w:hyperlink r:id="rId4">
        <w:r>
          <w:rPr>
            <w:rStyle w:val="Hyperlink"/>
            <w:rFonts w:ascii="Times New Roman" w:hAnsi="Times New Roman"/>
            <w:b w:val="false"/>
            <w:i w:val="false"/>
            <w:color w:val="000000"/>
            <w:sz w:val="22"/>
          </w:rPr>
          <w:t>101.113(2)</w:t>
        </w:r>
      </w:hyperlink>
      <w:r>
        <w:rPr>
          <w:rFonts w:ascii="Times New Roman" w:hAnsi="Times New Roman"/>
          <w:b w:val="false"/>
          <w:i w:val="false"/>
          <w:color w:val="000000"/>
          <w:sz w:val="22"/>
        </w:rPr>
        <w:t>, and consist of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Maintaining the integrity and effectiveness of any final cover, including making repairs to the cover as necessary to correct the effects of settlement, subsidence, erosion, or other events, and preventing run-on and runoff from eroding or otherwise damaging the final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and operating the leachate collection system in accordance with the requirements in </w:t>
      </w:r>
      <w:hyperlink r:id="rId5">
        <w:r>
          <w:rPr>
            <w:rStyle w:val="Hyperlink"/>
            <w:rFonts w:ascii="Times New Roman" w:hAnsi="Times New Roman"/>
            <w:b w:val="false"/>
            <w:i w:val="false"/>
            <w:color w:val="000000"/>
            <w:sz w:val="22"/>
          </w:rPr>
          <w:t>101.107(5)</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101.105(9)</w:t>
        </w:r>
      </w:hyperlink>
      <w:r>
        <w:rPr>
          <w:rFonts w:ascii="Times New Roman" w:hAnsi="Times New Roman"/>
          <w:b w:val="false"/>
          <w:i w:val="false"/>
          <w:color w:val="000000"/>
          <w:sz w:val="22"/>
        </w:rPr>
        <w:t>, if applicable. The department may allow the owner or operator to stop managing leachate if the owner or operator demonstrates that leachate no longer poses a threat to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the groundwater in accordance with the requirements of </w:t>
      </w:r>
      <w:hyperlink r:id="rId7">
        <w:r>
          <w:rPr>
            <w:rStyle w:val="Hyperlink"/>
            <w:rFonts w:ascii="Times New Roman" w:hAnsi="Times New Roman"/>
            <w:b w:val="false"/>
            <w:i w:val="false"/>
            <w:color w:val="000000"/>
            <w:sz w:val="22"/>
          </w:rPr>
          <w:t>567—101.110</w:t>
        </w:r>
      </w:hyperlink>
      <w:r>
        <w:rPr>
          <w:rFonts w:ascii="Times New Roman" w:hAnsi="Times New Roman"/>
          <w:b w:val="false"/>
          <w:i w:val="false"/>
          <w:color w:val="000000"/>
          <w:sz w:val="22"/>
        </w:rPr>
        <w:t>(455B) and maintaining the groundwater monitoring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and operating the gas monitoring system in accordance with the requirements of </w:t>
      </w:r>
      <w:hyperlink r:id="rId8">
        <w:r>
          <w:rPr>
            <w:rStyle w:val="Hyperlink"/>
            <w:rFonts w:ascii="Times New Roman" w:hAnsi="Times New Roman"/>
            <w:b w:val="false"/>
            <w:i w:val="false"/>
            <w:color w:val="000000"/>
            <w:sz w:val="22"/>
          </w:rPr>
          <w:t>567—101.109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101.113(2)</w:t>
      </w:r>
      <w:r>
        <w:rPr>
          <w:rFonts w:ascii="Times New Roman" w:hAnsi="Times New Roman"/>
          <w:b w:val="false"/>
          <w:i w:val="false"/>
          <w:color w:val="000000"/>
          <w:sz w:val="22"/>
        </w:rPr>
        <w:t> </w:t>
      </w:r>
      <w:r>
        <w:rPr>
          <w:rFonts w:ascii="Times New Roman" w:hAnsi="Times New Roman"/>
          <w:b w:val="false"/>
          <w:i w:val="false"/>
          <w:color w:val="000000"/>
          <w:sz w:val="22"/>
        </w:rPr>
        <w:t>The length of the post-closure care period may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Decreased by the department if the owner or operator demonstrates that the reduced period is sufficient to protect human health and the environment and this demonstration is approved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Increased if the department determines that the lengthened period is necessary to protect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101.113(3)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all MSWLF units must prepare a written post-closure plan that includes,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monitoring and maintenance activities required in </w:t>
      </w:r>
      <w:hyperlink r:id="rId9">
        <w:r>
          <w:rPr>
            <w:rStyle w:val="Hyperlink"/>
            <w:rFonts w:ascii="Times New Roman" w:hAnsi="Times New Roman"/>
            <w:b w:val="false"/>
            <w:i w:val="false"/>
            <w:color w:val="000000"/>
            <w:sz w:val="22"/>
          </w:rPr>
          <w:t>101.113(1)</w:t>
        </w:r>
      </w:hyperlink>
      <w:r>
        <w:rPr>
          <w:rFonts w:ascii="Times New Roman" w:hAnsi="Times New Roman"/>
          <w:b w:val="false"/>
          <w:i w:val="false"/>
          <w:color w:val="000000"/>
          <w:sz w:val="22"/>
        </w:rPr>
        <w:t xml:space="preserve"> for each MSWLF unit and the frequency at which these activities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address, email, and telephone number of the person or office to contact about the facility during the post-closure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planned uses of the property during the post-closure period. Post-closure use of the property shall not disturb the integrity of the final cover, liner(s), or any other components of the containment system or the function of the monitoring systems unless necessary to comply with the requirements in this division. The department may approve any other disturbance if the owner or operator demonstrates that disturbance of the final cover, liner, or other component of the containment system, including any removal of waste, will not increase the potential threat to human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101.113(4)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notify the department that a post-closure plan has been prepared and placed in the operating record by the date of initial receipt of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101.113(5)</w:t>
      </w:r>
      <w:r>
        <w:rPr>
          <w:rFonts w:ascii="Times New Roman" w:hAnsi="Times New Roman"/>
          <w:b w:val="false"/>
          <w:i w:val="false"/>
          <w:color w:val="000000"/>
          <w:sz w:val="22"/>
        </w:rPr>
        <w:t> </w:t>
      </w:r>
      <w:r>
        <w:rPr>
          <w:rFonts w:ascii="Times New Roman" w:hAnsi="Times New Roman"/>
          <w:b w:val="false"/>
          <w:i w:val="false"/>
          <w:color w:val="000000"/>
          <w:sz w:val="22"/>
        </w:rPr>
        <w:t>Following completion of the post-closure care period for each MSWLF unit, the owner or operator must submit to the department a certification, signed by an independent Iowa-licensed professional engineer, verifying that post-closure care has been completed in accordance with the post-closure plan. Upon department approval, the certification shall be placed in the operating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113.pdf" Type="http://schemas.openxmlformats.org/officeDocument/2006/relationships/hyperlink" Id="rId4"/>
    <Relationship TargetMode="External" Target="https://www.legis.iowa.gov/docs/iac/rule/567.101.107.pdf" Type="http://schemas.openxmlformats.org/officeDocument/2006/relationships/hyperlink" Id="rId5"/>
    <Relationship TargetMode="External" Target="https://www.legis.iowa.gov/docs/iac/rule/567.101.105.pdf" Type="http://schemas.openxmlformats.org/officeDocument/2006/relationships/hyperlink" Id="rId6"/>
    <Relationship TargetMode="External" Target="https://www.legis.iowa.gov/docs/iac/rule/567.101.110.pdf" Type="http://schemas.openxmlformats.org/officeDocument/2006/relationships/hyperlink" Id="rId7"/>
    <Relationship TargetMode="External" Target="https://www.legis.iowa.gov/docs/iac/rule/567.101.109.pdf" Type="http://schemas.openxmlformats.org/officeDocument/2006/relationships/hyperlink" Id="rId8"/>
    <Relationship TargetMode="External" Target="https://www.legis.iowa.gov/docs/iac/rule/567.101.113.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