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567—101.111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Recordkeeping and reporting requirements. </w:t>
      </w:r>
      <w:r>
        <w:rPr>
          <w:rFonts w:ascii="Times New Roman" w:hAnsi="Times New Roman"/>
          <w:b w:val="false"/>
          <w:i w:val="false"/>
          <w:color w:val="000000"/>
          <w:sz w:val="22"/>
        </w:rPr>
        <w:t xml:space="preserve">The purpose of the recordkeeping and reporting activities is to verify compliance with this division and to document the construction and operations of the facility. The department can set alternative schedules for recordkeeping and notification requirements as specified in </w:t>
      </w:r>
      <w:hyperlink r:id="rId4">
        <w:r>
          <w:rPr>
            <w:rStyle w:val="Hyperlink"/>
            <w:rFonts w:ascii="Times New Roman" w:hAnsi="Times New Roman"/>
            <w:b w:val="false"/>
            <w:i w:val="false"/>
            <w:color w:val="000000"/>
            <w:sz w:val="22"/>
          </w:rPr>
          <w:t>101.111(1)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101.111(2)</w:t>
        </w:r>
      </w:hyperlink>
      <w:r>
        <w:rPr>
          <w:rFonts w:ascii="Times New Roman" w:hAnsi="Times New Roman"/>
          <w:b w:val="false"/>
          <w:i w:val="false"/>
          <w:color w:val="000000"/>
          <w:sz w:val="22"/>
        </w:rPr>
        <w:t xml:space="preserve">, except for the notification requirements in </w:t>
      </w:r>
      <w:hyperlink r:id="rId6">
        <w:r>
          <w:rPr>
            <w:rStyle w:val="Hyperlink"/>
            <w:rFonts w:ascii="Times New Roman" w:hAnsi="Times New Roman"/>
            <w:b w:val="false"/>
            <w:i w:val="false"/>
            <w:color w:val="000000"/>
            <w:sz w:val="22"/>
          </w:rPr>
          <w:t>101.106(2)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101.110(6)</w:t>
        </w:r>
      </w:hyperlink>
      <w:r>
        <w:rPr>
          <w:rFonts w:ascii="Times New Roman" w:hAnsi="Times New Roman"/>
          <w:b w:val="false"/>
          <w:i/>
          <w:color w:val="000000"/>
          <w:sz w:val="22"/>
        </w:rPr>
        <w:t>“g”</w:t>
      </w:r>
      <w:r>
        <w:rPr>
          <w:rFonts w:ascii="Times New Roman" w:hAnsi="Times New Roman"/>
          <w:b w:val="false"/>
          <w:i w:val="false"/>
          <w:color w:val="000000"/>
          <w:sz w:val="22"/>
        </w:rPr>
        <w:t>(1)“3.” MSWLFs shall comply with the following recordkeeping and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101.111(1)</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The owner or operator of an MSWLF unit must record and retain near the facility in an operating record or in an alternative location approved by the department the following information as it becomes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application, permit renewal, and permit modification application materials pursuant to </w:t>
      </w:r>
      <w:hyperlink r:id="rId8">
        <w:r>
          <w:rPr>
            <w:rStyle w:val="Hyperlink"/>
            <w:rFonts w:ascii="Times New Roman" w:hAnsi="Times New Roman"/>
            <w:b w:val="false"/>
            <w:i w:val="false"/>
            <w:color w:val="000000"/>
            <w:sz w:val="22"/>
          </w:rPr>
          <w:t>567—101.105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Site exploration and characterization reports pursuant to </w:t>
      </w:r>
      <w:hyperlink r:id="rId9">
        <w:r>
          <w:rPr>
            <w:rStyle w:val="Hyperlink"/>
            <w:rFonts w:ascii="Times New Roman" w:hAnsi="Times New Roman"/>
            <w:b w:val="false"/>
            <w:i w:val="false"/>
            <w:color w:val="000000"/>
            <w:sz w:val="22"/>
          </w:rPr>
          <w:t>101.106(3)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 and construction plans and specifications, and related analyses and documents, pursuant to </w:t>
      </w:r>
      <w:hyperlink r:id="rId10">
        <w:r>
          <w:rPr>
            <w:rStyle w:val="Hyperlink"/>
            <w:rFonts w:ascii="Times New Roman" w:hAnsi="Times New Roman"/>
            <w:b w:val="false"/>
            <w:i w:val="false"/>
            <w:color w:val="000000"/>
            <w:sz w:val="22"/>
          </w:rPr>
          <w:t>567—101.107</w:t>
        </w:r>
      </w:hyperlink>
      <w:r>
        <w:rPr>
          <w:rFonts w:ascii="Times New Roman" w:hAnsi="Times New Roman"/>
          <w:b w:val="false"/>
          <w:i w:val="false"/>
          <w:color w:val="000000"/>
          <w:sz w:val="22"/>
        </w:rPr>
        <w:t xml:space="preserve">(455B). The QC&amp;A final reports, and related analyses and documents, pursuant to </w:t>
      </w:r>
      <w:hyperlink r:id="rId11">
        <w:r>
          <w:rPr>
            <w:rStyle w:val="Hyperlink"/>
            <w:rFonts w:ascii="Times New Roman" w:hAnsi="Times New Roman"/>
            <w:b w:val="false"/>
            <w:i w:val="false"/>
            <w:color w:val="000000"/>
            <w:sz w:val="22"/>
          </w:rPr>
          <w:t>101.107(4)</w:t>
        </w:r>
      </w:hyperlink>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Inspection records, training procedures, and notification procedures required in </w:t>
      </w:r>
      <w:hyperlink r:id="rId12">
        <w:r>
          <w:rPr>
            <w:rStyle w:val="Hyperlink"/>
            <w:rFonts w:ascii="Times New Roman" w:hAnsi="Times New Roman"/>
            <w:b w:val="false"/>
            <w:i w:val="false"/>
            <w:color w:val="000000"/>
            <w:sz w:val="22"/>
          </w:rPr>
          <w:t>567—101.108</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Any MSWLF unit design documentation for placement of leachate or gas condensate in an MSWLF unit as required under </w:t>
      </w:r>
      <w:hyperlink r:id="rId13">
        <w:r>
          <w:rPr>
            <w:rStyle w:val="Hyperlink"/>
            <w:rFonts w:ascii="Times New Roman" w:hAnsi="Times New Roman"/>
            <w:b w:val="false"/>
            <w:i w:val="false"/>
            <w:color w:val="000000"/>
            <w:sz w:val="22"/>
          </w:rPr>
          <w:t>101.108(1)</w:t>
        </w:r>
      </w:hyperlink>
      <w:r>
        <w:rPr>
          <w:rFonts w:ascii="Times New Roman" w:hAnsi="Times New Roman"/>
          <w:b w:val="false"/>
          <w:i/>
          <w:color w:val="000000"/>
          <w:sz w:val="22"/>
        </w:rPr>
        <w:t>“b”</w:t>
      </w:r>
      <w:r>
        <w:rPr>
          <w:rFonts w:ascii="Times New Roman" w:hAnsi="Times New Roman"/>
          <w:b w:val="false"/>
          <w:i w:val="false"/>
          <w:color w:val="000000"/>
          <w:sz w:val="22"/>
        </w:rPr>
        <w:t>(3)“2” and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Gas monitoring results from monitoring and any remediation plans required by </w:t>
      </w:r>
      <w:hyperlink r:id="rId14">
        <w:r>
          <w:rPr>
            <w:rStyle w:val="Hyperlink"/>
            <w:rFonts w:ascii="Times New Roman" w:hAnsi="Times New Roman"/>
            <w:b w:val="false"/>
            <w:i w:val="false"/>
            <w:color w:val="000000"/>
            <w:sz w:val="22"/>
          </w:rPr>
          <w:t>567—101.109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Any demonstration, certification, finding, monitoring, testing, or analytical data required by </w:t>
      </w:r>
      <w:hyperlink r:id="rId15">
        <w:r>
          <w:rPr>
            <w:rStyle w:val="Hyperlink"/>
            <w:rFonts w:ascii="Times New Roman" w:hAnsi="Times New Roman"/>
            <w:b w:val="false"/>
            <w:i w:val="false"/>
            <w:color w:val="000000"/>
            <w:sz w:val="22"/>
          </w:rPr>
          <w:t>567—101.110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Closure and post-closure care plans and any monitoring, testing, or analytical data as required by </w:t>
      </w:r>
      <w:hyperlink r:id="rId16">
        <w:r>
          <w:rPr>
            <w:rStyle w:val="Hyperlink"/>
            <w:rFonts w:ascii="Times New Roman" w:hAnsi="Times New Roman"/>
            <w:b w:val="false"/>
            <w:i w:val="false"/>
            <w:color w:val="000000"/>
            <w:sz w:val="22"/>
          </w:rPr>
          <w:t>567—101.112</w:t>
        </w:r>
      </w:hyperlink>
      <w:r>
        <w:rPr>
          <w:rFonts w:ascii="Times New Roman" w:hAnsi="Times New Roman"/>
          <w:b w:val="false"/>
          <w:i w:val="false"/>
          <w:color w:val="000000"/>
          <w:sz w:val="22"/>
        </w:rPr>
        <w:t xml:space="preserve">(455B) and </w:t>
      </w:r>
      <w:hyperlink r:id="rId17">
        <w:r>
          <w:rPr>
            <w:rStyle w:val="Hyperlink"/>
            <w:rFonts w:ascii="Times New Roman" w:hAnsi="Times New Roman"/>
            <w:b w:val="false"/>
            <w:i w:val="false"/>
            <w:color w:val="000000"/>
            <w:sz w:val="22"/>
          </w:rPr>
          <w:t>567—101.113</w:t>
        </w:r>
      </w:hyperlink>
      <w:r>
        <w:rPr>
          <w:rFonts w:ascii="Times New Roman" w:hAnsi="Times New Roman"/>
          <w:b w:val="false"/>
          <w:i w:val="false"/>
          <w:color w:val="000000"/>
          <w:sz w:val="22"/>
        </w:rPr>
        <w:t>(455B);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cost estimates and financial assurance documentation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101.111(2)</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 xml:space="preserve">The owner or operator must notify the department when the documents required in </w:t>
      </w:r>
      <w:hyperlink r:id="rId18">
        <w:r>
          <w:rPr>
            <w:rStyle w:val="Hyperlink"/>
            <w:rFonts w:ascii="Times New Roman" w:hAnsi="Times New Roman"/>
            <w:b w:val="false"/>
            <w:i w:val="false"/>
            <w:color w:val="000000"/>
            <w:sz w:val="22"/>
          </w:rPr>
          <w:t>101.111(1)</w:t>
        </w:r>
      </w:hyperlink>
      <w:r>
        <w:rPr>
          <w:rFonts w:ascii="Times New Roman" w:hAnsi="Times New Roman"/>
          <w:b w:val="false"/>
          <w:i w:val="false"/>
          <w:color w:val="000000"/>
          <w:sz w:val="22"/>
        </w:rPr>
        <w:t xml:space="preserve"> have been placed in the operating record. All information contained in the operating record must be furnished upon request to the department for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1.111.pdf" Type="http://schemas.openxmlformats.org/officeDocument/2006/relationships/hyperlink" Id="rId4"/>
    <Relationship TargetMode="External" Target="https://www.legis.iowa.gov/docs/iac/rule/567.101.111.pdf" Type="http://schemas.openxmlformats.org/officeDocument/2006/relationships/hyperlink" Id="rId5"/>
    <Relationship TargetMode="External" Target="https://www.legis.iowa.gov/docs/iac/rule/567.101.106.pdf" Type="http://schemas.openxmlformats.org/officeDocument/2006/relationships/hyperlink" Id="rId6"/>
    <Relationship TargetMode="External" Target="https://www.legis.iowa.gov/docs/iac/rule/567.101.110.pdf" Type="http://schemas.openxmlformats.org/officeDocument/2006/relationships/hyperlink" Id="rId7"/>
    <Relationship TargetMode="External" Target="https://www.legis.iowa.gov/docs/iac/rule/567.101.105.pdf" Type="http://schemas.openxmlformats.org/officeDocument/2006/relationships/hyperlink" Id="rId8"/>
    <Relationship TargetMode="External" Target="https://www.legis.iowa.gov/docs/iac/rule/567.101.106.pdf" Type="http://schemas.openxmlformats.org/officeDocument/2006/relationships/hyperlink" Id="rId9"/>
    <Relationship TargetMode="External" Target="https://www.legis.iowa.gov/docs/iac/rule/567.101.107.pdf" Type="http://schemas.openxmlformats.org/officeDocument/2006/relationships/hyperlink" Id="rId10"/>
    <Relationship TargetMode="External" Target="https://www.legis.iowa.gov/docs/iac/rule/567.101.107.pdf" Type="http://schemas.openxmlformats.org/officeDocument/2006/relationships/hyperlink" Id="rId11"/>
    <Relationship TargetMode="External" Target="https://www.legis.iowa.gov/docs/iac/rule/567.101.108.pdf" Type="http://schemas.openxmlformats.org/officeDocument/2006/relationships/hyperlink" Id="rId12"/>
    <Relationship TargetMode="External" Target="https://www.legis.iowa.gov/docs/iac/rule/567.101.108.pdf" Type="http://schemas.openxmlformats.org/officeDocument/2006/relationships/hyperlink" Id="rId13"/>
    <Relationship TargetMode="External" Target="https://www.legis.iowa.gov/docs/iac/rule/567.101.109.pdf" Type="http://schemas.openxmlformats.org/officeDocument/2006/relationships/hyperlink" Id="rId14"/>
    <Relationship TargetMode="External" Target="https://www.legis.iowa.gov/docs/iac/rule/567.101.110.pdf" Type="http://schemas.openxmlformats.org/officeDocument/2006/relationships/hyperlink" Id="rId15"/>
    <Relationship TargetMode="External" Target="https://www.legis.iowa.gov/docs/iac/rule/567.101.112.pdf" Type="http://schemas.openxmlformats.org/officeDocument/2006/relationships/hyperlink" Id="rId16"/>
    <Relationship TargetMode="External" Target="https://www.legis.iowa.gov/docs/iac/rule/567.101.113.pdf" Type="http://schemas.openxmlformats.org/officeDocument/2006/relationships/hyperlink" Id="rId17"/>
    <Relationship TargetMode="External" Target="https://www.legis.iowa.gov/docs/iac/rule/567.101.111.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