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567—101.110</w:t>
      </w:r>
      <w:r>
        <w:rPr>
          <w:rFonts w:ascii="Times New Roman" w:hAnsi="Times New Roman"/>
          <w:b/>
          <w:i w:val="false"/>
          <w:color w:val="000000"/>
          <w:sz w:val="22"/>
        </w:rPr>
        <w:t xml:space="preserve">(455B) </w:t>
      </w:r>
      <w:r>
        <w:rPr>
          <w:rFonts w:ascii="Times New Roman" w:hAnsi="Times New Roman"/>
          <w:b/>
          <w:i w:val="false"/>
          <w:color w:val="000000"/>
          <w:sz w:val="22"/>
        </w:rPr>
        <w:t xml:space="preserve">Environmental monitoring and corrective action requirements for groundwater and surface water. </w:t>
      </w:r>
      <w:r>
        <w:rPr>
          <w:rFonts w:ascii="Times New Roman" w:hAnsi="Times New Roman"/>
          <w:b w:val="false"/>
          <w:i w:val="false"/>
          <w:color w:val="000000"/>
          <w:sz w:val="22"/>
        </w:rPr>
        <w:t>MSWLFs shall comply with the following environmental monitoring and corrective action requirements for groundwater and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environmental monitoring and corrective action for groundwater and surface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MSWLF units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Cause a discharge of pollutants into waters of the United States, including wetlands, that violates any requirements of the Clean Water Act, including but not limited to NPDES requirements, pursuant to </w:t>
      </w:r>
      <w:r>
        <w:rPr>
          <w:rFonts w:ascii="Times New Roman" w:hAnsi="Times New Roman"/>
          <w:b w:val="false"/>
          <w:i w:val="false"/>
          <w:color w:val="000000"/>
          <w:sz w:val="22"/>
        </w:rPr>
        <w:t>Section 402 of the Clean Water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Cause the discharge of a nonpoint source of pollution into waters of the United States, including wetlands, that violates any requirement of an areawide or statewide water quality management plan that has been approved under </w:t>
      </w:r>
      <w:r>
        <w:rPr>
          <w:rFonts w:ascii="Times New Roman" w:hAnsi="Times New Roman"/>
          <w:b w:val="false"/>
          <w:i w:val="false"/>
          <w:color w:val="000000"/>
          <w:sz w:val="22"/>
        </w:rPr>
        <w:t>Section 208 or 319 of the Clean Water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MSWLF unit must be in compliance with the groundwater monitoring requirements specified in </w:t>
      </w:r>
      <w:hyperlink r:id="rId4">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101.110(4)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 xml:space="preserve"> before waste can be placed in the unit unless the department establishes an alternative schedule for demonstrating compliance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8">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“c”</w:t>
      </w:r>
      <w:r>
        <w:rPr>
          <w:rFonts w:ascii="Times New Roman" w:hAnsi="Times New Roman"/>
          <w:b w:val="false"/>
          <w:i w:val="false"/>
          <w:color w:val="000000"/>
          <w:sz w:val="22"/>
        </w:rPr>
        <w:t>(3), pertaining to notification of placement of certification in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9">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“c”</w:t>
      </w:r>
      <w:r>
        <w:rPr>
          <w:rFonts w:ascii="Times New Roman" w:hAnsi="Times New Roman"/>
          <w:b w:val="false"/>
          <w:i w:val="false"/>
          <w:color w:val="000000"/>
          <w:sz w:val="22"/>
        </w:rPr>
        <w:t>(1), pertaining to notification that statistically significant increase (SSI) notice is in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Subparagraphs </w:t>
      </w:r>
      <w:hyperlink r:id="rId10">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 pertaining to an assessment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1">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pertaining to sampling and analyzing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2">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“d”</w:t>
      </w:r>
      <w:r>
        <w:rPr>
          <w:rFonts w:ascii="Times New Roman" w:hAnsi="Times New Roman"/>
          <w:b w:val="false"/>
          <w:i w:val="false"/>
          <w:color w:val="000000"/>
          <w:sz w:val="22"/>
        </w:rPr>
        <w:t>(1), pertaining to placement of notice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detected) in record and notification of placement of notice in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3">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“d”</w:t>
      </w:r>
      <w:r>
        <w:rPr>
          <w:rFonts w:ascii="Times New Roman" w:hAnsi="Times New Roman"/>
          <w:b w:val="false"/>
          <w:i w:val="false"/>
          <w:color w:val="000000"/>
          <w:sz w:val="22"/>
        </w:rPr>
        <w:t xml:space="preserve">(2), pertaining to sampling for </w:t>
      </w:r>
      <w:r>
        <w:rPr>
          <w:rFonts w:ascii="Times New Roman" w:hAnsi="Times New Roman"/>
          <w:b w:val="false"/>
          <w:i w:val="false"/>
          <w:color w:val="000000"/>
          <w:sz w:val="22"/>
        </w:rPr>
        <w:t>40 CFR Part 258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4">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 xml:space="preserve"> pertaining to notification (and placement of notice in record) of SSI above groundwater protection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Numbered paragraph </w:t>
      </w:r>
      <w:hyperlink r:id="rId15">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 xml:space="preserve">(1)“4” and paragraph </w:t>
      </w:r>
      <w:hyperlink r:id="rId16">
        <w:r>
          <w:rPr>
            <w:rStyle w:val="Hyperlink"/>
            <w:rFonts w:ascii="Times New Roman" w:hAnsi="Times New Roman"/>
            <w:b w:val="false"/>
            <w:i w:val="false"/>
            <w:color w:val="000000"/>
            <w:sz w:val="22"/>
          </w:rPr>
          <w:t>101.110(7)</w:t>
        </w:r>
      </w:hyperlink>
      <w:r>
        <w:rPr>
          <w:rFonts w:ascii="Times New Roman" w:hAnsi="Times New Roman"/>
          <w:b w:val="false"/>
          <w:i/>
          <w:color w:val="000000"/>
          <w:sz w:val="22"/>
        </w:rPr>
        <w:t>“a,”</w:t>
      </w:r>
      <w:r>
        <w:rPr>
          <w:rFonts w:ascii="Times New Roman" w:hAnsi="Times New Roman"/>
          <w:b w:val="false"/>
          <w:i w:val="false"/>
          <w:color w:val="000000"/>
          <w:sz w:val="22"/>
        </w:rPr>
        <w:t xml:space="preserve"> pertaining to assessment of corrective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7">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“a,”</w:t>
      </w:r>
      <w:r>
        <w:rPr>
          <w:rFonts w:ascii="Times New Roman" w:hAnsi="Times New Roman"/>
          <w:b w:val="false"/>
          <w:i w:val="false"/>
          <w:color w:val="000000"/>
          <w:sz w:val="22"/>
        </w:rPr>
        <w:t xml:space="preserve"> pertaining to selection of remedy and notification of placement in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18">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“f,”</w:t>
      </w:r>
      <w:r>
        <w:rPr>
          <w:rFonts w:ascii="Times New Roman" w:hAnsi="Times New Roman"/>
          <w:b w:val="false"/>
          <w:i w:val="false"/>
          <w:color w:val="000000"/>
          <w:sz w:val="22"/>
        </w:rPr>
        <w:t xml:space="preserve"> pertaining to notification of placement in record (certification of remedy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established at an MSWLF unit, groundwater monitoring shall be conducted throughout the active life and post-closure care period of that MSWLF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101.110(2)</w:t>
      </w:r>
      <w:r>
        <w:rPr>
          <w:rFonts w:ascii="Times New Roman" w:hAnsi="Times New Roman"/>
          <w:b w:val="false"/>
          <w:i w:val="false"/>
          <w:color w:val="000000"/>
          <w:sz w:val="22"/>
        </w:rPr>
        <w:t> </w:t>
      </w:r>
      <w:r>
        <w:rPr>
          <w:rFonts w:ascii="Times New Roman" w:hAnsi="Times New Roman"/>
          <w:b w:val="false"/>
          <w:i/>
          <w:color w:val="000000"/>
          <w:sz w:val="22"/>
        </w:rPr>
        <w:t xml:space="preserve">Groundwater monitoring systems. </w:t>
      </w:r>
      <w:r>
        <w:rPr>
          <w:rFonts w:ascii="Times New Roman" w:hAnsi="Times New Roman"/>
          <w:b w:val="false"/>
          <w:i w:val="false"/>
          <w:color w:val="000000"/>
          <w:sz w:val="22"/>
        </w:rPr>
        <w:t>MSWLFs shall have a groundwater monitoring system that complies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Objectives. </w:t>
      </w:r>
      <w:r>
        <w:rPr>
          <w:rFonts w:ascii="Times New Roman" w:hAnsi="Times New Roman"/>
          <w:b w:val="false"/>
          <w:i w:val="false"/>
          <w:color w:val="000000"/>
          <w:sz w:val="22"/>
        </w:rPr>
        <w:t>A groundwater monitoring system must be installed that meets the following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Yields groundwater samples from the uppermost aquifer that represent the quality of background groundwater that has not been affected by leakage from a unit. A determination of background quality may include sampling of wells that are not hydraulically upgradient of the waste management area where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Hydrogeologic conditions do not allow the owner or operator to determine which wells are hydraulically upgradient;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Sampling at other wells will provide an indication of background groundwater quality that is as representative as or more representative than that provided by the upgradient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Yields groundwater samples from the uppermost aquifer that represent the quality of groundwater passing the relevant point of compliance specified by the department under </w:t>
      </w:r>
      <w:hyperlink r:id="rId19">
        <w:r>
          <w:rPr>
            <w:rStyle w:val="Hyperlink"/>
            <w:rFonts w:ascii="Times New Roman" w:hAnsi="Times New Roman"/>
            <w:b w:val="false"/>
            <w:i w:val="false"/>
            <w:color w:val="000000"/>
            <w:sz w:val="22"/>
          </w:rPr>
          <w:t>101.107(5)</w:t>
        </w:r>
        <w:r>
          <w:rPr>
            <w:rFonts w:ascii="Times New Roman" w:hAnsi="Times New Roman"/>
            <w:b w:val="false"/>
            <w:i/>
            <w:color w:val="000000"/>
            <w:sz w:val="22"/>
          </w:rPr>
          <w:t>“a”</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A downgradient monitoring system must be installed at the relevant point of compliance specified by the department under </w:t>
      </w:r>
      <w:hyperlink r:id="rId20">
        <w:r>
          <w:rPr>
            <w:rStyle w:val="Hyperlink"/>
            <w:rFonts w:ascii="Times New Roman" w:hAnsi="Times New Roman"/>
            <w:b w:val="false"/>
            <w:i w:val="false"/>
            <w:color w:val="000000"/>
            <w:sz w:val="22"/>
          </w:rPr>
          <w:t>101.107(5)</w:t>
        </w:r>
        <w:r>
          <w:rPr>
            <w:rFonts w:ascii="Times New Roman" w:hAnsi="Times New Roman"/>
            <w:b w:val="false"/>
            <w:i/>
            <w:color w:val="000000"/>
            <w:sz w:val="22"/>
          </w:rPr>
          <w:t>“a”</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that ensures detection of groundwater contamination in the uppermost aquifer. When physical obstacles preclude installation of groundwater monitoring wells at the relevant point of compliance at existing units, the downgradient monitoring system may be installed at the closest practicable distance, hydraulically downgradient from the relevant point of compliance specified by the department under </w:t>
      </w:r>
      <w:hyperlink r:id="rId21">
        <w:r>
          <w:rPr>
            <w:rStyle w:val="Hyperlink"/>
            <w:rFonts w:ascii="Times New Roman" w:hAnsi="Times New Roman"/>
            <w:b w:val="false"/>
            <w:i w:val="false"/>
            <w:color w:val="000000"/>
            <w:sz w:val="22"/>
          </w:rPr>
          <w:t>101.107(5)</w:t>
        </w:r>
      </w:hyperlink>
      <w:r>
        <w:rPr>
          <w:rFonts w:ascii="Times New Roman" w:hAnsi="Times New Roman"/>
          <w:b w:val="false"/>
          <w:i/>
          <w:color w:val="000000"/>
          <w:sz w:val="22"/>
        </w:rPr>
        <w:t>“a”</w:t>
      </w:r>
      <w:r>
        <w:rPr>
          <w:rFonts w:ascii="Times New Roman" w:hAnsi="Times New Roman"/>
          <w:b w:val="false"/>
          <w:i w:val="false"/>
          <w:color w:val="000000"/>
          <w:sz w:val="22"/>
        </w:rPr>
        <w:t>(2)“2,” that ensures detection of groundwater contamination in the uppermost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a high level of certainty that releases of contaminants from the site can be promptly detected. Downgradient monitoring wells shall be placed along the site perimeter, within 50 feet of the planned liner or waste boundary unless site conditions dictate otherwise, downgradient of the facility with respect to the hydrologic unit being monitored. Each groundwater underdrain system shall be included in the groundwater detection monitoring program under </w:t>
      </w:r>
      <w:hyperlink r:id="rId22">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 xml:space="preserve">. The maximum drainage area routed through each outfall shall not exceed ten acres unless it can be demonstrated that site-specific factors such as drain flow capacity or site development sequencing require an alternative drainage area. If contamination is identified in the groundwater underdrain system pursuant to </w:t>
      </w:r>
      <w:hyperlink r:id="rId23">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 the owner or operator shall manage the underdrain discharge as leachate in lieu of assessment monitoring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designed and constructed with the theoretical release evaluation pursuant to </w:t>
      </w:r>
      <w:hyperlink r:id="rId24">
        <w:r>
          <w:rPr>
            <w:rStyle w:val="Hyperlink"/>
            <w:rFonts w:ascii="Times New Roman" w:hAnsi="Times New Roman"/>
            <w:b w:val="false"/>
            <w:i w:val="false"/>
            <w:color w:val="000000"/>
            <w:sz w:val="22"/>
          </w:rPr>
          <w:t>101.106(3)</w:t>
        </w:r>
        <w:r>
          <w:rPr>
            <w:rFonts w:ascii="Times New Roman" w:hAnsi="Times New Roman"/>
            <w:b w:val="false"/>
            <w:i/>
            <w:color w:val="000000"/>
            <w:sz w:val="22"/>
          </w:rPr>
          <w:t>“e”</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taken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Long-term, multiphase operations. </w:t>
      </w:r>
      <w:r>
        <w:rPr>
          <w:rFonts w:ascii="Times New Roman" w:hAnsi="Times New Roman"/>
          <w:b w:val="false"/>
          <w:i w:val="false"/>
          <w:color w:val="000000"/>
          <w:sz w:val="22"/>
        </w:rPr>
        <w:t xml:space="preserve">For those facilities that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 provided that the multiphase unit groundwater monitoring system meets the requirements of </w:t>
      </w:r>
      <w:hyperlink r:id="rId25">
        <w:r>
          <w:rPr>
            <w:rStyle w:val="Hyperlink"/>
            <w:rFonts w:ascii="Times New Roman" w:hAnsi="Times New Roman"/>
            <w:b w:val="false"/>
            <w:i w:val="false"/>
            <w:color w:val="000000"/>
            <w:sz w:val="22"/>
          </w:rPr>
          <w:t>101.8(2)</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101.8(3)</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and will be as protective of human health and the environment as the individual monitoring systems for each MSWLF unit, based on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spacing, and orientation of the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Hydrogeologic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Engineering design of the MSWLF units;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Type of waste accepted at the MSWLF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Hydrologic monitoring system plan (HMSP). </w:t>
      </w:r>
      <w:r>
        <w:rPr>
          <w:rFonts w:ascii="Times New Roman" w:hAnsi="Times New Roman"/>
          <w:b w:val="false"/>
          <w:i w:val="false"/>
          <w:color w:val="000000"/>
          <w:sz w:val="22"/>
        </w:rPr>
        <w:t>Unless otherwise approved by the department in writing, the number, spacing, and depth of groundwater monitoring points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Determined based upon site-specific technical information, including but not limited to the soil and hydrogeologic investigation pursuant to </w:t>
      </w:r>
      <w:hyperlink r:id="rId28">
        <w:r>
          <w:rPr>
            <w:rStyle w:val="Hyperlink"/>
            <w:rFonts w:ascii="Times New Roman" w:hAnsi="Times New Roman"/>
            <w:b w:val="false"/>
            <w:i w:val="false"/>
            <w:color w:val="000000"/>
            <w:sz w:val="22"/>
          </w:rPr>
          <w:t>101.106(3)</w:t>
        </w:r>
      </w:hyperlink>
      <w:r>
        <w:rPr>
          <w:rFonts w:ascii="Times New Roman" w:hAnsi="Times New Roman"/>
          <w:b w:val="false"/>
          <w:i w:val="false"/>
          <w:color w:val="000000"/>
          <w:sz w:val="22"/>
        </w:rPr>
        <w:t xml:space="preserve"> and the site exploration and characterization report pursuant to </w:t>
      </w:r>
      <w:hyperlink r:id="rId29">
        <w:r>
          <w:rPr>
            <w:rStyle w:val="Hyperlink"/>
            <w:rFonts w:ascii="Times New Roman" w:hAnsi="Times New Roman"/>
            <w:b w:val="false"/>
            <w:i w:val="false"/>
            <w:color w:val="000000"/>
            <w:sz w:val="22"/>
          </w:rPr>
          <w:t>101.106(3)</w:t>
        </w:r>
      </w:hyperlink>
      <w:r>
        <w:rPr>
          <w:rFonts w:ascii="Times New Roman" w:hAnsi="Times New Roman"/>
          <w:b w:val="false"/>
          <w:i w:val="false"/>
          <w:color w:val="000000"/>
          <w:sz w:val="22"/>
        </w:rPr>
        <w:t>, that must include thorough characterization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Aquifer thickness, groundwater flow rate, and groundwater flow direction including seasonal and temporal fluctuations in groundwater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Saturated and unsaturated geologic units and fill materials overlying the uppermost aquifer, materials comprising the uppermost aquifer, and materials comprising the confining unit defining the lower boundary of the uppermost aquifer, including but not limited to thicknesses, stratigraphy, lithology, hydraulic conductivities, porosities and effective porosities;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Projected paths and rates of movement of contaminants found in leachate pursuant to </w:t>
      </w:r>
      <w:hyperlink r:id="rId30">
        <w:r>
          <w:rPr>
            <w:rStyle w:val="Hyperlink"/>
            <w:rFonts w:ascii="Times New Roman" w:hAnsi="Times New Roman"/>
            <w:b w:val="false"/>
            <w:i w:val="false"/>
            <w:color w:val="000000"/>
            <w:sz w:val="22"/>
          </w:rPr>
          <w:t>101.106(3)</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Designed and constructed with a maximum of 300 feet between downgradient groundwater monitoring wells unless it is demonstrated by site-specific analysis or modeling that an alternative well spacing is justified. The convergence of groundwater paths to minimize the overall length of the downgradient dimension may be taken into consideration in the placement of downgradient monitoring wells provided that the groundwater monitoring system meets the requirements of </w:t>
      </w:r>
      <w:hyperlink r:id="rId31">
        <w:r>
          <w:rPr>
            <w:rStyle w:val="Hyperlink"/>
            <w:rFonts w:ascii="Times New Roman" w:hAnsi="Times New Roman"/>
            <w:b w:val="false"/>
            <w:i w:val="false"/>
            <w:color w:val="000000"/>
            <w:sz w:val="22"/>
          </w:rPr>
          <w:t>101.8(2)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101.8(3)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by a qualified groundwater scientist and approved by the department. Within 14 days of this certification and approval by the department, the owner or operator must notify the department that the certification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Monitoring well maintenance and performance reevaluation plan. </w:t>
      </w:r>
      <w:r>
        <w:rPr>
          <w:rFonts w:ascii="Times New Roman" w:hAnsi="Times New Roman"/>
          <w:b w:val="false"/>
          <w:i w:val="false"/>
          <w:color w:val="000000"/>
          <w:sz w:val="22"/>
        </w:rPr>
        <w:t>A monitoring well maintenance and performance reevaluation plan shall be included as part of the HMSP. The plan shall ensure that all monitoring points remain reliable. The plan shall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biennial examination of high and low water levels accompanied by a discussion of the acceptability of well location (vertically and horizontally) and exposure of the screened interval to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water level conditions in the monitoring wells to ensure that the effects of waste disposal or well operation have not resulted in changes in the hydrologic setting and resultant flow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Measurements of well depths to ensure that wells are physically intact and not filling with sediment. Measurements shall be taken annually in wells that do not contain dedicated sampling pumps and every five years in wells containing dedicated sampling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biennial evaluation of well recharge rates and chemistry to determine if well deterioration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101.110(3)</w:t>
      </w:r>
      <w:r>
        <w:rPr>
          <w:rFonts w:ascii="Times New Roman" w:hAnsi="Times New Roman"/>
          <w:b w:val="false"/>
          <w:i w:val="false"/>
          <w:color w:val="000000"/>
          <w:sz w:val="22"/>
        </w:rPr>
        <w:t> </w:t>
      </w:r>
      <w:r>
        <w:rPr>
          <w:rFonts w:ascii="Times New Roman" w:hAnsi="Times New Roman"/>
          <w:b w:val="false"/>
          <w:i/>
          <w:color w:val="000000"/>
          <w:sz w:val="22"/>
        </w:rPr>
        <w:t xml:space="preserve">Surface water monitoring systems. </w:t>
      </w:r>
      <w:r>
        <w:rPr>
          <w:rFonts w:ascii="Times New Roman" w:hAnsi="Times New Roman"/>
          <w:b w:val="false"/>
          <w:i w:val="false"/>
          <w:color w:val="000000"/>
          <w:sz w:val="22"/>
        </w:rPr>
        <w:t>The department may require an MSWLF facility to implement a surface water monitoring program if there is reason to believe that a surface water of the state has been impacted as a result of facility operations (i.e., leachate seeps, sediment pond discharge) or a groundwater SSI over background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surface water monitoring program must be developed that consists of a sufficient number of monitoring points, designated at appropriate locations, to yield surface water samples that provide a representative sample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upstream quality of a surface water of the state if the surface water being monitored is a flowing body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downstream quality of a surface water of the state if the surface water being monitored is a flowing body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Surface water levels must be measured at a frequency specified in the facility’s permit, within 1/10 of a foot at each surface water monitoring point immediately prior to sampling, each time surface water is sampled. The owner or operator must determine the rate and direction of surface water flow, if any, each time surface water is sampled. Surface water level and flow measurements for the same surface water of the state must be measured on the same day to avoid temporal variations that could preclude accurate determination of surface water flow and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notify and receive approval from the department for the designation or decommission of any surface water monitoring point and must place that approval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surface water monitoring point shall be designated to maintain sampling at that monitoring point throughout the life of the surface water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surface water monitoring point must have a unique and permanent number, and that number must never change or be used again at the MSWLF. Surface water monitoring points shall be identified by “SW# (insert unique and permanent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spacing, and location of the surface water monitoring points shall be determined based upon site-specific technical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level, including seasonal and temporal fluctuations in water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Flow rate and flow direction, including seasonal and temporal fluctuations in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MSWLF may discontinue the surface water monitoring program if monitoring data indicates that facility operations are not impacting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101.110(4)</w:t>
      </w:r>
      <w:r>
        <w:rPr>
          <w:rFonts w:ascii="Times New Roman" w:hAnsi="Times New Roman"/>
          <w:b w:val="false"/>
          <w:i w:val="false"/>
          <w:color w:val="000000"/>
          <w:sz w:val="22"/>
        </w:rPr>
        <w:t> </w:t>
      </w:r>
      <w:r>
        <w:rPr>
          <w:rFonts w:ascii="Times New Roman" w:hAnsi="Times New Roman"/>
          <w:b w:val="false"/>
          <w:i/>
          <w:color w:val="000000"/>
          <w:sz w:val="22"/>
        </w:rPr>
        <w:t xml:space="preserve">Groundwater sampling and analysis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groundwater monitoring program must include consistent sampling and analysis procedures that are designed to ensure monitoring results that provide an accurate representation of groundwater quality at the background and downgradient wells installed in compliance with </w:t>
      </w:r>
      <w:hyperlink r:id="rId34">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Analyses for a contaminant regulated under this division must be performed by a laboratory certified for the analyte(s) and applicable method pursuant to </w:t>
      </w:r>
      <w:hyperlink r:id="rId35">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The owner or operator must notify the department that the sampling and analysis program documentation has been placed in the operating record, and the program must include procedures and techniques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Sample preservation and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Analytical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Chain of custody control;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Quality assurance and quality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groundwater monitoring programs must include sampling and analytical methods that are appropriate for groundwater sampling and that accurately measure hazardous constituents and other monitoring parameters in groundwater samples. Groundwater samples shall not be field-filtered prior to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sampling procedures and frequency must be protective of human health and the environment and consistent with </w:t>
      </w:r>
      <w:hyperlink r:id="rId36">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Groundwater elevations must be measured at a frequency specified in the facility’s permit, within 1/100 of a foot in each well immediately prior to purging, each time groundwater is sampled. The owner or operator must determine the rate and direction of groundwater flow each time groundwater is sampled. Groundwater elevations in wells that monitor the same waste management area must be measured within a period of time short enough to avoid temporal variations in groundwater flow that could preclude accurate determination of groundwater flow rate and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establish background groundwater quality in a hydraulically upgradient or background well(s) for each of the monitoring parameters or constituents required in the particular groundwater monitoring program that applies to the MSWLF unit, as determined under </w:t>
      </w:r>
      <w:hyperlink r:id="rId37">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3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“a.”</w:t>
      </w:r>
      <w:r>
        <w:rPr>
          <w:rFonts w:ascii="Times New Roman" w:hAnsi="Times New Roman"/>
          <w:b w:val="false"/>
          <w:i w:val="false"/>
          <w:color w:val="000000"/>
          <w:sz w:val="22"/>
        </w:rPr>
        <w:t xml:space="preserve"> Background groundwater quality may be established at wells that are not located hydraulically upgradient from the MSWLF unit if the wells meet the requirements of </w:t>
      </w:r>
      <w:hyperlink r:id="rId39">
        <w:r>
          <w:rPr>
            <w:rStyle w:val="Hyperlink"/>
            <w:rFonts w:ascii="Times New Roman" w:hAnsi="Times New Roman"/>
            <w:b w:val="false"/>
            <w:i w:val="false"/>
            <w:color w:val="000000"/>
            <w:sz w:val="22"/>
          </w:rPr>
          <w:t>101.110(2)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samples collected to establish groundwater quality data must be consistent with the appropriate statistical procedures determined pursuant to </w:t>
      </w:r>
      <w:hyperlink r:id="rId40">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sampling procedures shall be those specified under </w:t>
      </w:r>
      <w:hyperlink r:id="rId41">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detection monitoring, </w:t>
      </w:r>
      <w:hyperlink r:id="rId42">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assessment monitoring, and </w:t>
      </w:r>
      <w:hyperlink r:id="rId44">
        <w:r>
          <w:rPr>
            <w:rStyle w:val="Hyperlink"/>
            <w:rFonts w:ascii="Times New Roman" w:hAnsi="Times New Roman"/>
            <w:b w:val="false"/>
            <w:i w:val="false"/>
            <w:color w:val="000000"/>
            <w:sz w:val="22"/>
          </w:rPr>
          <w:t>101.110(7)</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specify in the operating record which of the following statistical methods will be used in evaluating groundwater monitoring data for each hazardous constituent. The statistical test chosen shall be conducted separately for each hazardous constituent in each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parametric analysis of variance (ANOVA) followed by multiple comparisons procedures to identify statistically significant evidence of contamination. The method must include estimation and testing of the contrasts between each compliance well’s mean and the background mean levels for each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variance (ANOVA) based on ranks followed by multiple comparisons procedures to identify statistically significant evidence of contamination. The method must include estimation and testing of the contrasts between each compliance well’s median and the background median levels for each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tolerance or prediction interval procedure in which an interval for each constituent is established from the distribution of the background data and the level of each constituent in each compliance well is compared to the upper tolerance or prediction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control chart approach that gives control limits for each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statistical test method that meets the performance standards of </w:t>
      </w:r>
      <w:hyperlink r:id="rId45">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owner or operator must place a justification for this alternative in the operating record and notify the department of the use of this alternative test. The justification must demonstrate that the alternative method meets the performance standards of </w:t>
      </w:r>
      <w:hyperlink r:id="rId46">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statistical method required pursuant to </w:t>
      </w:r>
      <w:hyperlink r:id="rId47">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comply with the following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statistical method used to evaluate groundwater monitoring data shall be appropriate for the distribution of chemical parameters or hazardous constituents. If the distribution of the chemical parameters or hazardous constituents is shown by the owner or operator to be inappropriate for a normal theory test, then the data shall be transformed or a distribution-free theory test shall be used. If the distributions for the constituents differ, more than one statistical method may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individual well comparison procedure is used to compare an individual compliance well constituent concentration with background constituent concentrations or a groundwater protection standard, the test shall be done at a Type I error level not less than 0.01 for each testing period. If a multiple comparisons procedure is used, the Type I experiment-wise error rate for each testing period shall be not less than 0.05; however, the Type I error level of not less than 0.01 for individual well comparisons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control chart approach is used to evaluate groundwater monitoring data, the specific type of control chart and its associated parameter values shall be protective of human health and the environment. The parameters shall be determined after the number of samples in the background database, the data distribution, and the range of the concentration values for each constituent of concern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tolerance interval or a prediction interval is used to evaluate groundwater monitoring data, the levels of confidence and, for tolerance intervals, the percentage of the population that the interval must contain, shall be protective of human health and the environment. These parameters shall be determined after the number of samples in the background database, the data distribution, and the range of the concentration values for each constituent of concern have been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statistical method shall account for data below the limit of detection (LD) by recording such data at one-half the limit of detection (i.e., LD/2) or as prescribed by the statistical method. Any practical quantitation limit that is used in the statistical method shall be the lowest concentration level that can be reliably achieved within specified limits of precision and accuracy during routine laboratory operating conditions that are available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necessary, the statistical method shall include procedures to control or correct for seasonal and spatial variability as well as temporal correlation in the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determine whether or not there is an SSI over background values for each parameter or constituent required in the particular groundwater monitoring program that applies to the MSWLF unit, as determined under </w:t>
      </w:r>
      <w:hyperlink r:id="rId48">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49">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an SSI has occurred, the owner or operator must compare the groundwater quality of each parameter or constituent at each monitoring well designated pursuant to </w:t>
      </w:r>
      <w:hyperlink r:id="rId50">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to the background value of that constituent, according to the statistical procedures and performance standards specified under </w:t>
      </w:r>
      <w:hyperlink r:id="rId51">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45 days after completing sampling and analysis, the owner or operator must determine whether there has been an SSI over background at each monitoring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101.110(5)</w:t>
      </w:r>
      <w:r>
        <w:rPr>
          <w:rFonts w:ascii="Times New Roman" w:hAnsi="Times New Roman"/>
          <w:b w:val="false"/>
          <w:i w:val="false"/>
          <w:color w:val="000000"/>
          <w:sz w:val="22"/>
        </w:rPr>
        <w:t> </w:t>
      </w:r>
      <w:r>
        <w:rPr>
          <w:rFonts w:ascii="Times New Roman" w:hAnsi="Times New Roman"/>
          <w:b w:val="false"/>
          <w:i/>
          <w:color w:val="000000"/>
          <w:sz w:val="22"/>
        </w:rPr>
        <w:t xml:space="preserve">Detection monitoring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Detection monitoring is required at MSWLF units at all groundwater monitoring wells defined under </w:t>
      </w:r>
      <w:hyperlink r:id="rId52">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At a minimum, a detection monitoring program must include the monitoring for the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 and any additional parameters required by the department on a site-specific basis. An alternative list of constituents may be used if it can be demonstrated that the constituents removed are not reasonably expected to be in or derived from the waste contained in the unit and if the alternative list of constituents is expected to provide a reliable indication of leachate leakage or gas impact from the MSWLF unit.</w:t>
      </w:r>
    </w:p>
    <w:p>
      <w:pPr>
        <w:spacing w:before="0" w:after="0"/>
        <w:ind w:left="120"/>
        <w:jc w:val="both"/>
      </w:pPr>
      <w:r>
        <w:rPr>
          <w:rFonts w:ascii="Times New Roman" w:hAnsi="Times New Roman"/>
          <w:b w:val="false"/>
          <w:i w:val="false"/>
          <w:color w:val="000000"/>
          <w:sz w:val="22"/>
        </w:rPr>
        <w:t xml:space="preserve">The department may establish an alternative list of inorganic indicator parameters for an MSWLF unit within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in lieu of some or all of the heavy metals (constituents 1 through 15 in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 if the alternative parameters provide a reliable indication of inorganic releases from the MSWLF unit to the groundwater. In determining alternative parameters,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types, quantities, and concentrations of constituents in wastes managed at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mobility, stability, and persistence of waste constituents or their reaction products in the unsaturated zone beneath the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detectability of indicator parameters, waste constituents, and reaction products in the groundwater;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concentration or values and coefficients of variation of monitoring parameters or constituents in the groundwater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monitoring frequency for all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53">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shall be at least semiannual (i.e., every six months) during the active life of the facility (including closure) and the post-closure period. Where insufficient background data exist, a minimum of five independent samples from each well, collected at intervals to account for seasonal and temporal variation, must be analyzed for the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54">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during the first year. At least one sample from each well must be collected and analyzed during subsequent semiannual sampling events. The department may specify an appropriate alternative frequency for repeated sampling and analysis for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55">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(1) during the active life (including closure) and the post-closure care period. The alternative frequency during the active life (including closure) shall be not less than annually. The alternative frequency shall be based on consideration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Lithology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Hydraulic conductivity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flow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Minimum distance between upgradient edge of the MSWLF unit and downgradient monitoring well screen (minimum distance of travel);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 value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determines, pursuant to </w:t>
      </w:r>
      <w:hyperlink r:id="rId56">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“i,”</w:t>
      </w:r>
      <w:r>
        <w:rPr>
          <w:rFonts w:ascii="Times New Roman" w:hAnsi="Times New Roman"/>
          <w:b w:val="false"/>
          <w:i w:val="false"/>
          <w:color w:val="000000"/>
          <w:sz w:val="22"/>
        </w:rPr>
        <w:t xml:space="preserve"> that there is an SSI over background for one or more of the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57">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at any monitoring well specified under </w:t>
      </w:r>
      <w:hyperlink r:id="rId58">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then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within 14 days of this finding, place a notice in the operating record indicating which constituents have shown statistically significant changes from background levels and notify the department that this notice was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Must establish within 90 days an assessment monitoring program meeting the requirements of </w:t>
      </w:r>
      <w:hyperlink r:id="rId59">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 xml:space="preserve">, except as provided in </w:t>
      </w:r>
      <w:hyperlink r:id="rId60">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resampling is a part of the demonstration, resampling procedures shall be specified prior to initial sampling. If a successful demonstration to the department is made and documented, the owner or operator may continue detection monitoring as specified in </w:t>
      </w:r>
      <w:hyperlink r:id="rId61">
        <w:r>
          <w:rPr>
            <w:rStyle w:val="Hyperlink"/>
            <w:rFonts w:ascii="Times New Roman" w:hAnsi="Times New Roman"/>
            <w:b w:val="false"/>
            <w:i w:val="false"/>
            <w:color w:val="000000"/>
            <w:sz w:val="22"/>
          </w:rPr>
          <w:t>101.110(5)</w:t>
        </w:r>
      </w:hyperlink>
      <w:r>
        <w:rPr>
          <w:rFonts w:ascii="Times New Roman" w:hAnsi="Times New Roman"/>
          <w:b w:val="false"/>
          <w:i w:val="false"/>
          <w:color w:val="000000"/>
          <w:sz w:val="22"/>
        </w:rPr>
        <w:t xml:space="preserve">. If, after 90 days, a successful demonstration is not made, the owner or operator must initiate an assessment monitoring program as required in </w:t>
      </w:r>
      <w:hyperlink r:id="rId62">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101.110(6)</w:t>
      </w:r>
      <w:r>
        <w:rPr>
          <w:rFonts w:ascii="Times New Roman" w:hAnsi="Times New Roman"/>
          <w:b w:val="false"/>
          <w:i w:val="false"/>
          <w:color w:val="000000"/>
          <w:sz w:val="22"/>
        </w:rPr>
        <w:t> </w:t>
      </w:r>
      <w:r>
        <w:rPr>
          <w:rFonts w:ascii="Times New Roman" w:hAnsi="Times New Roman"/>
          <w:b w:val="false"/>
          <w:i/>
          <w:color w:val="000000"/>
          <w:sz w:val="22"/>
        </w:rPr>
        <w:t xml:space="preserve">Assessment monitoring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monitoring is required whenever an SSI over background has been confirmed pursuant to </w:t>
      </w:r>
      <w:hyperlink r:id="rId63">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“c”</w:t>
      </w:r>
      <w:r>
        <w:rPr>
          <w:rFonts w:ascii="Times New Roman" w:hAnsi="Times New Roman"/>
          <w:b w:val="false"/>
          <w:i w:val="false"/>
          <w:color w:val="000000"/>
          <w:sz w:val="22"/>
        </w:rPr>
        <w:t xml:space="preserve"> to be the result of a release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of triggering an assessment monitoring program, and annually thereafter, the owner or operator must sample and analyze the groundwater for all constituents identified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A minimum of one sample from each downgradient well shall be collected and analyzed during each sampling event. For any constituent detected in the downgradient wells as a result of the complete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analysis, a minimum of four independent samples from each well must be collected and analyzed to establish background for the constituents. The department may specify an appropriate subset of wells to be sampled and analyzed for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during assessment monitoring. The department may delete any of the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monitoring parameters for an MSWLF unit if it can be shown that the removed constituents are not reasonably expected to be in or derived from the waste contained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specify an appropriate alternate frequency for repeated sampling and analysis for the full set of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required by </w:t>
      </w:r>
      <w:hyperlink r:id="rId64">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during the active life (including closure) and post-closure care period of the unit. The following factors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Lithology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Hydraulic conductivity of the aquifer and unsaturated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flow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Minimum distance between upgradient edge of the MSWLF unit and downgradient monitoring well screen (minimum distance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 value of the aquifer;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Nature (fate and transport) of any constituents detected in response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obtaining the results from the initial or subsequent sampling events required in </w:t>
      </w:r>
      <w:hyperlink r:id="rId65">
        <w:r>
          <w:rPr>
            <w:rStyle w:val="Hyperlink"/>
            <w:rFonts w:ascii="Times New Roman" w:hAnsi="Times New Roman"/>
            <w:b w:val="false"/>
            <w:i w:val="false"/>
            <w:color w:val="000000"/>
            <w:sz w:val="22"/>
          </w:rPr>
          <w:t>101.110(6)</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14 days, place a notice in the operating record identifying the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that have been detected and notify the department that this notice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and on at least a semiannual basis thereafter, resample all wells specified by </w:t>
      </w:r>
      <w:hyperlink r:id="rId66">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xml:space="preserve"> and conduct analyses for all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67">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for those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that are detected in response to the requirements of </w:t>
      </w:r>
      <w:hyperlink r:id="rId6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Concentrations shall be recorded in the facility operating record. At least one sample from each well must be collected and analyzed during these sampling events. The department may specify an alternative monitoring frequency during the active life and the post-closure period for the constituents referred to in this subparagraph. The alternative frequency for constituents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 or in the alternative list approved in accordance with </w:t>
      </w:r>
      <w:hyperlink r:id="rId69">
        <w:r>
          <w:rPr>
            <w:rStyle w:val="Hyperlink"/>
            <w:rFonts w:ascii="Times New Roman" w:hAnsi="Times New Roman"/>
            <w:b w:val="false"/>
            <w:i w:val="false"/>
            <w:color w:val="000000"/>
            <w:sz w:val="22"/>
          </w:rPr>
          <w:t>101.110(5)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during the active life shall be no less than annual. The alternative frequency shall be based on consideration of the factors specified in </w:t>
      </w:r>
      <w:hyperlink r:id="rId70">
        <w:r>
          <w:rPr>
            <w:rStyle w:val="Hyperlink"/>
            <w:rFonts w:ascii="Times New Roman" w:hAnsi="Times New Roman"/>
            <w:b w:val="false"/>
            <w:i w:val="false"/>
            <w:color w:val="000000"/>
            <w:sz w:val="22"/>
          </w:rPr>
          <w:t>101.110(6)</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background concentrations for any constituents detected pursuant to </w:t>
      </w:r>
      <w:hyperlink r:id="rId71">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72">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“d”</w:t>
      </w:r>
      <w:r>
        <w:rPr>
          <w:rFonts w:ascii="Times New Roman" w:hAnsi="Times New Roman"/>
          <w:b w:val="false"/>
          <w:i w:val="false"/>
          <w:color w:val="000000"/>
          <w:sz w:val="22"/>
        </w:rPr>
        <w:t>(2);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groundwater protection standards for all constituents detected pursuant to </w:t>
      </w:r>
      <w:hyperlink r:id="rId73">
        <w:r>
          <w:rPr>
            <w:rStyle w:val="Hyperlink"/>
            <w:rFonts w:ascii="Times New Roman" w:hAnsi="Times New Roman"/>
            <w:b w:val="false"/>
            <w:i w:val="false"/>
            <w:color w:val="000000"/>
            <w:sz w:val="22"/>
          </w:rPr>
          <w:t>101.110(6)</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groundwater protection standards shall be established in accordance with </w:t>
      </w:r>
      <w:hyperlink r:id="rId74">
        <w:r>
          <w:rPr>
            <w:rStyle w:val="Hyperlink"/>
            <w:rFonts w:ascii="Times New Roman" w:hAnsi="Times New Roman"/>
            <w:b w:val="false"/>
            <w:i w:val="false"/>
            <w:color w:val="000000"/>
            <w:sz w:val="22"/>
          </w:rPr>
          <w:t>101.110(6)</w:t>
        </w:r>
        <w:r>
          <w:rPr>
            <w:rFonts w:ascii="Times New Roman" w:hAnsi="Times New Roman"/>
            <w:b w:val="false"/>
            <w:i/>
            <w:color w:val="000000"/>
            <w:sz w:val="22"/>
          </w:rPr>
          <w:t>“h”</w:t>
        </w:r>
      </w:hyperlink>
      <w:r>
        <w:rPr>
          <w:rFonts w:ascii="Times New Roman" w:hAnsi="Times New Roman"/>
          <w:b w:val="false"/>
          <w:i w:val="false"/>
          <w:color w:val="000000"/>
          <w:sz w:val="22"/>
        </w:rPr>
        <w:t xml:space="preserve"> or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concentrations of all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are shown to be at or below background values, using the statistical procedures in </w:t>
      </w:r>
      <w:hyperlink r:id="rId75">
        <w:r>
          <w:rPr>
            <w:rStyle w:val="Hyperlink"/>
            <w:rFonts w:ascii="Times New Roman" w:hAnsi="Times New Roman"/>
            <w:b w:val="false"/>
            <w:i w:val="false"/>
            <w:color w:val="000000"/>
            <w:sz w:val="22"/>
          </w:rPr>
          <w:t>101.110(4)</w:t>
        </w:r>
        <w:r>
          <w:rPr>
            <w:rFonts w:ascii="Times New Roman" w:hAnsi="Times New Roman"/>
            <w:b w:val="false"/>
            <w:i/>
            <w:color w:val="000000"/>
            <w:sz w:val="22"/>
          </w:rPr>
          <w:t>“g”</w:t>
        </w:r>
      </w:hyperlink>
      <w:r>
        <w:rPr>
          <w:rFonts w:ascii="Times New Roman" w:hAnsi="Times New Roman"/>
          <w:b w:val="false"/>
          <w:i w:val="false"/>
          <w:color w:val="000000"/>
          <w:sz w:val="22"/>
        </w:rPr>
        <w:t xml:space="preserve"> for two consecutive sampling events, the owner or operator must notify the department of this finding and may return to detection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concentrations of any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are above background values, but all concentrations are below the groundwater protection standard established under </w:t>
      </w:r>
      <w:hyperlink r:id="rId76">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using the statistical procedures in </w:t>
      </w:r>
      <w:hyperlink r:id="rId77">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owner or operator must continue assessment monitoring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one or more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are detected at statistically significant levels above the groundwater protection standard established under </w:t>
      </w:r>
      <w:hyperlink r:id="rId7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in any sampling event, the owner or operator must, within 14 days of this finding, place a notice in the operating record identifying the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that have exceeded the groundwater protection standard and notify the department and all other appropriate local government officials that the notice has been placed in the operating record. The owner or operator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Must, within 90 days of this finding, comply with the requirements in </w:t>
      </w:r>
      <w:hyperlink r:id="rId79">
        <w:r>
          <w:rPr>
            <w:rStyle w:val="Hyperlink"/>
            <w:rFonts w:ascii="Times New Roman" w:hAnsi="Times New Roman"/>
            <w:b w:val="false"/>
            <w:i w:val="false"/>
            <w:color w:val="000000"/>
            <w:sz w:val="22"/>
          </w:rPr>
          <w:t>101.110(6)</w:t>
        </w:r>
        <w:r>
          <w:rPr>
            <w:rFonts w:ascii="Times New Roman" w:hAnsi="Times New Roman"/>
            <w:b w:val="false"/>
            <w:i/>
            <w:color w:val="000000"/>
            <w:sz w:val="22"/>
          </w:rPr>
          <w:t>“g”</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Characterize the nature and extent of the release by installing additional monitoring wells as necessary until the horizontal and vertical dimensions of the plume have been defined to background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 at least one additional monitoring well at the facility boundary in the direction of contaminant migration and sample this well in accordance with </w:t>
      </w:r>
      <w:hyperlink r:id="rId80">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all persons who own the land or reside on the land that directly overlies any part of the plume of contamination if contaminants have migrated off site when indicated by sampling of wells in accordance with </w:t>
      </w:r>
      <w:hyperlink r:id="rId81">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 an assessment of corrective measures as required by </w:t>
      </w:r>
      <w:hyperlink r:id="rId82">
        <w:r>
          <w:rPr>
            <w:rStyle w:val="Hyperlink"/>
            <w:rFonts w:ascii="Times New Roman" w:hAnsi="Times New Roman"/>
            <w:b w:val="false"/>
            <w:i w:val="false"/>
            <w:color w:val="000000"/>
            <w:sz w:val="22"/>
          </w:rPr>
          <w:t>101.110(7)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a successful demonstration is made, the owner or operator must continue monitoring in accordance with the assessment monitoring program pursuant to </w:t>
      </w:r>
      <w:hyperlink r:id="rId83">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 xml:space="preserve"> and may return to detection monitoring if the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are at or below background as specified in </w:t>
      </w:r>
      <w:hyperlink r:id="rId84">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“e.”</w:t>
      </w:r>
      <w:r>
        <w:rPr>
          <w:rFonts w:ascii="Times New Roman" w:hAnsi="Times New Roman"/>
          <w:b w:val="false"/>
          <w:i w:val="false"/>
          <w:color w:val="000000"/>
          <w:sz w:val="22"/>
        </w:rPr>
        <w:t xml:space="preserve"> Until a successful demonstration is made, the owner or operator must comply with </w:t>
      </w:r>
      <w:hyperlink r:id="rId85">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 xml:space="preserve"> including initiating an assessment of corrective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establish a groundwater protection standard for each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 detected in the groundwater. The groundwater protection standard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constituents for which a maximum contaminant level (MCL) has been promulgated under </w:t>
      </w:r>
      <w:r>
        <w:rPr>
          <w:rFonts w:ascii="Times New Roman" w:hAnsi="Times New Roman"/>
          <w:b w:val="false"/>
          <w:i w:val="false"/>
          <w:color w:val="000000"/>
          <w:sz w:val="22"/>
        </w:rPr>
        <w:t>Section 1412 of the Safe Drinking Water Act</w:t>
      </w:r>
      <w:r>
        <w:rPr>
          <w:rFonts w:ascii="Times New Roman" w:hAnsi="Times New Roman"/>
          <w:b w:val="false"/>
          <w:i w:val="false"/>
          <w:color w:val="000000"/>
          <w:sz w:val="22"/>
        </w:rPr>
        <w:t xml:space="preserve"> (codified) under </w:t>
      </w:r>
      <w:r>
        <w:rPr>
          <w:rFonts w:ascii="Times New Roman" w:hAnsi="Times New Roman"/>
          <w:b w:val="false"/>
          <w:i w:val="false"/>
          <w:color w:val="000000"/>
          <w:sz w:val="22"/>
        </w:rPr>
        <w:t>40 CFR Part 141</w:t>
      </w:r>
      <w:r>
        <w:rPr>
          <w:rFonts w:ascii="Times New Roman" w:hAnsi="Times New Roman"/>
          <w:b w:val="false"/>
          <w:i w:val="false"/>
          <w:color w:val="000000"/>
          <w:sz w:val="22"/>
        </w:rPr>
        <w:t>, the MCL for that constituent;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constituents for which MCLs have not been promulgated, the background concentration for the constituent established from wells in accordance with </w:t>
      </w:r>
      <w:hyperlink r:id="rId86">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constituents for which the background concentration is higher than the MCL identified under </w:t>
      </w:r>
      <w:hyperlink r:id="rId87">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(1) or health-based concentrations identified under </w:t>
      </w:r>
      <w:hyperlink r:id="rId88">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background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establish an alternative groundwater protection standard for constituents for which MCLs have not been established. These groundwater protection standards shall be appropriate health-based concentrations that comply with the statewide standards for groundwater established pursuant to </w:t>
      </w:r>
      <w:hyperlink r:id="rId89">
        <w:r>
          <w:rPr>
            <w:rStyle w:val="Hyperlink"/>
            <w:rFonts w:ascii="Times New Roman" w:hAnsi="Times New Roman"/>
            <w:b w:val="false"/>
            <w:i w:val="false"/>
            <w:color w:val="000000"/>
            <w:sz w:val="22"/>
          </w:rPr>
          <w:t>567—Chapter 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alternative groundwater protection standards under </w:t>
      </w:r>
      <w:hyperlink r:id="rId90">
        <w:r>
          <w:rPr>
            <w:rStyle w:val="Hyperlink"/>
            <w:rFonts w:ascii="Times New Roman" w:hAnsi="Times New Roman"/>
            <w:b w:val="false"/>
            <w:i w:val="false"/>
            <w:color w:val="000000"/>
            <w:sz w:val="22"/>
          </w:rPr>
          <w:t>101.110(6)</w:t>
        </w:r>
        <w:r>
          <w:rPr>
            <w:rFonts w:ascii="Times New Roman" w:hAnsi="Times New Roman"/>
            <w:b w:val="false"/>
            <w:i/>
            <w:color w:val="000000"/>
            <w:sz w:val="22"/>
          </w:rPr>
          <w:t>“i,”</w:t>
        </w:r>
      </w:hyperlink>
      <w:r>
        <w:rPr>
          <w:rFonts w:ascii="Times New Roman" w:hAnsi="Times New Roman"/>
          <w:b w:val="false"/>
          <w:i w:val="false"/>
          <w:color w:val="000000"/>
          <w:sz w:val="22"/>
        </w:rPr>
        <w:t xml:space="preserve"> the department may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policies set forth by the Groundwater Protection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Multiple contaminants in the groundwater with the assumption that the effects are additive regarding detrimental effects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Exposure threats to sensitive environmental receptors;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site-specific exposure or potential exposure to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101.110(7)</w:t>
      </w:r>
      <w:r>
        <w:rPr>
          <w:rFonts w:ascii="Times New Roman" w:hAnsi="Times New Roman"/>
          <w:b w:val="false"/>
          <w:i w:val="false"/>
          <w:color w:val="000000"/>
          <w:sz w:val="22"/>
        </w:rPr>
        <w:t> </w:t>
      </w:r>
      <w:r>
        <w:rPr>
          <w:rFonts w:ascii="Times New Roman" w:hAnsi="Times New Roman"/>
          <w:b w:val="false"/>
          <w:i/>
          <w:color w:val="000000"/>
          <w:sz w:val="22"/>
        </w:rPr>
        <w:t xml:space="preserve">Assessment of corrective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90 days of finding that any of the constituents listed in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have been detected at a statistically significant level exceeding the groundwater protection standards defined under </w:t>
      </w:r>
      <w:hyperlink r:id="rId91">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the owner or operator must initiate an assessment of corrective measures. Such an assessment must be completed and submitted to the department for review and approval within 180 days of the initial finding unless otherwise authorized or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continue to monitor in accordance with the assessment monitoring program as specified in </w:t>
      </w:r>
      <w:hyperlink r:id="rId92">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shall include an analysis of the effectiveness of potential corrective measures in meeting all of the requirements and objectives of the remedy as described under </w:t>
      </w:r>
      <w:hyperlink r:id="rId93">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addressing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performance, reliability, ease of implementation, and potential impacts of appropriate potential remedies, including safety impacts, cross-media impacts, and control of exposure to any residual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required to begin and complete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costs of remedy implementation;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institutional requirements such as state or local permit requirements or other environmental or public health requirements that may substantially affect implementation of the remedy(ies).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60 days of approval from the department of the assessment of corrective measures, the owner or operator must discuss the results of the corrective measures assessment, prior to the selection of a remedy, in a public meeting with interested and affected parties. The department may establish an alternative schedule for completing the public meeting requirement. Notice of public meeting shall be sent to all owners and occupiers of property adjacent to the permitted boundary of the facility, the department, and the department field office with jurisdiction over the facility. A copy of the minutes of this public meeting and the list of community concerns must be placed in the operating record and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101.110(8)</w:t>
      </w:r>
      <w:r>
        <w:rPr>
          <w:rFonts w:ascii="Times New Roman" w:hAnsi="Times New Roman"/>
          <w:b w:val="false"/>
          <w:i w:val="false"/>
          <w:color w:val="000000"/>
          <w:sz w:val="22"/>
        </w:rPr>
        <w:t> </w:t>
      </w:r>
      <w:r>
        <w:rPr>
          <w:rFonts w:ascii="Times New Roman" w:hAnsi="Times New Roman"/>
          <w:b w:val="false"/>
          <w:i/>
          <w:color w:val="000000"/>
          <w:sz w:val="22"/>
        </w:rPr>
        <w:t xml:space="preserve">Selection of remedy.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results of the corrective measures assessment conducted under </w:t>
      </w:r>
      <w:hyperlink r:id="rId94">
        <w:r>
          <w:rPr>
            <w:rStyle w:val="Hyperlink"/>
            <w:rFonts w:ascii="Times New Roman" w:hAnsi="Times New Roman"/>
            <w:b w:val="false"/>
            <w:i w:val="false"/>
            <w:color w:val="000000"/>
            <w:sz w:val="22"/>
          </w:rPr>
          <w:t>101.110(7)</w:t>
        </w:r>
      </w:hyperlink>
      <w:r>
        <w:rPr>
          <w:rFonts w:ascii="Times New Roman" w:hAnsi="Times New Roman"/>
          <w:b w:val="false"/>
          <w:i w:val="false"/>
          <w:color w:val="000000"/>
          <w:sz w:val="22"/>
        </w:rPr>
        <w:t xml:space="preserve">, the owner or operator must select a remedy within 60 days of holding the public meeting that, at a minimum, meets the standards listed in </w:t>
      </w:r>
      <w:hyperlink r:id="rId95">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may establish an alternative schedule for selecting a remedy after holding the public meeting. The owner or operator must submit a report to the department within 14 days of selecting a remedy describing the selected remedy, stating that the report has been placed in the operating record, and explaining how the selected remedy meets the standards in </w:t>
      </w:r>
      <w:hyperlink r:id="rId96">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Remedies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protective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Attain the groundwater protection standards specified pursuant to </w:t>
      </w:r>
      <w:hyperlink r:id="rId97">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 the source(s) of releases so as to reduce or eliminate, to the maximum extent practicable, further releases of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into the environment that may pose a threat to human health or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standards for management of wastes as specified in </w:t>
      </w:r>
      <w:hyperlink r:id="rId98">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selecting a remedy that meets the standards of </w:t>
      </w:r>
      <w:hyperlink r:id="rId99">
        <w:r>
          <w:rPr>
            <w:rStyle w:val="Hyperlink"/>
            <w:rFonts w:ascii="Times New Roman" w:hAnsi="Times New Roman"/>
            <w:b w:val="false"/>
            <w:i w:val="false"/>
            <w:color w:val="000000"/>
            <w:sz w:val="22"/>
          </w:rPr>
          <w:t>101.110(8)</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owner or operator shall consider the following evaluation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long-term and short-term effectiveness and protectiveness of the potential remedy(ies), along with the degree of certainty that the remedy will prove successful based on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Magnitude of reduction of existing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Magnitude of residual risks in terms of likelihood of further releases due to waste remaining following implementation of a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and degree of long-term management required, including monitoring, operation,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Short-term risks that might be posed to the community, workers, or the environment during implementation of such a remedy, including potential threats to human health and the environment associated with excavation, transportation, redisposal, or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Time period until full protection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Potential for exposure of humans and environmental receptors to remaining wastes, considering the potential threat to human health and the environment associated with excavation, transportation, redisposal, or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Long-term reliability of the engineering and institutional controls;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Potential need for replacement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remedy in controlling the source to reduce further releases based on consideration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containment practices will reduce further releases;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treatment technologies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ease or difficulty of implementing a potential remedy(ies) based on consideration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Degree of difficulty associated with constructing the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operational reliability of the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Necessity of coordination with and obtaining necessary approvals and permits from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Availability of necessary equipment and specialists;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Available capacity and location of needed treatment, storage, and disposal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Practicable capability of the owner or operator, including a consideration of technical and economic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degree to which community concerns, including but not limited to the concerns identified at the public meeting required pursuant to </w:t>
      </w:r>
      <w:hyperlink r:id="rId100">
        <w:r>
          <w:rPr>
            <w:rStyle w:val="Hyperlink"/>
            <w:rFonts w:ascii="Times New Roman" w:hAnsi="Times New Roman"/>
            <w:b w:val="false"/>
            <w:i w:val="false"/>
            <w:color w:val="000000"/>
            <w:sz w:val="22"/>
          </w:rPr>
          <w:t>101.110(7)</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addressed by a potential remedy(ies).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specify as part of the selected remedy a schedule(s) for initiating and completing remedial activities. Such a schedule must require the initiation of remedial activities within a reasonable period of time taking into consideration the factors set forth in </w:t>
      </w:r>
      <w:hyperlink r:id="rId101">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“d”</w:t>
      </w:r>
      <w:r>
        <w:rPr>
          <w:rFonts w:ascii="Times New Roman" w:hAnsi="Times New Roman"/>
          <w:b w:val="false"/>
          <w:i w:val="false"/>
          <w:color w:val="000000"/>
          <w:sz w:val="22"/>
        </w:rPr>
        <w:t xml:space="preserve">(1) through </w:t>
      </w:r>
      <w:r>
        <w:rPr>
          <w:rFonts w:ascii="Times New Roman" w:hAnsi="Times New Roman"/>
          <w:b w:val="false"/>
          <w:i/>
          <w:color w:val="000000"/>
          <w:sz w:val="22"/>
        </w:rPr>
        <w:t>“d”</w:t>
      </w:r>
      <w:r>
        <w:rPr>
          <w:rFonts w:ascii="Times New Roman" w:hAnsi="Times New Roman"/>
          <w:b w:val="false"/>
          <w:i w:val="false"/>
          <w:color w:val="000000"/>
          <w:sz w:val="22"/>
        </w:rPr>
        <w:t>(8). The owner or operator must consider the following factors in determining the schedule of remedial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Extent and nature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Practical capabilities of remedial technologies in achieving compliance with groundwater protection standards established under </w:t>
      </w:r>
      <w:hyperlink r:id="rId102">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and other objectives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Availability of treatment or disposal capacity for wastes managed during implementation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Desirability of utilizing alternative or experimental technologies that are not widely available but that may offer significant advantages over already available technologies in terms of effectiveness, reliability, safety, or ability to achieve remedial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Potential risks to human health and the environment from exposure to contamination prior to completion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Resource value of the aquifer,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and future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Proximity and withdrawal rate of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quantity and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potential damage to wildlife, crops, vegetation, and physical structures caused by exposure to waste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hydrogeologic characteristics of the facility and surrounding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Groundwater removal and treatment costs;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cost and availability of alternative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Practicable capability of the owner or operator;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101.110(9)</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the corrective action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schedule established under </w:t>
      </w:r>
      <w:hyperlink r:id="rId103">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initiation and completion of remedial activities,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and implement a corrective action groundwater monitoring program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a minimum, meets the requirements of an assessment monitoring program under </w:t>
      </w:r>
      <w:hyperlink r:id="rId104">
        <w:r>
          <w:rPr>
            <w:rStyle w:val="Hyperlink"/>
            <w:rFonts w:ascii="Times New Roman" w:hAnsi="Times New Roman"/>
            <w:b w:val="false"/>
            <w:i w:val="false"/>
            <w:color w:val="000000"/>
            <w:sz w:val="22"/>
          </w:rPr>
          <w:t>101.110(6)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Indicates the effectiveness of the corrective action remedy;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Demonstrates compliance with groundwater protection standards pursuant to </w:t>
      </w:r>
      <w:hyperlink r:id="rId105">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 the corrective action remedy selected under </w:t>
      </w:r>
      <w:hyperlink r:id="rId106">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Take any interim measures necessary to ensure the protection of human health and the environment. Interim measures should, to the greatest extent practicable, be consistent with the objectives of and contribute to the performance of any remedy that may be required pursuant to </w:t>
      </w:r>
      <w:hyperlink r:id="rId107">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The following factors must be considered by an owner or operator in determining whether interim measures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Time period required to develop and implement a final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or potential exposure of nearby populations or environmental receptors to hazardous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Actual or potential contamination of drinking water supplies or sensitive ecosystems;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Further degradation of the groundwater that may occur if remedial action is not initiated expeditiously;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Weather conditions that may cause hazardous constituents to migrate or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Risk of fire or explosion or potential for exposure to hazardous constituents as a result of an accident or the failure of a container or handling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factors that may pose threats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determine, based on information developed after implementation of the remedy has begun or other information, that compliance with the requirements of </w:t>
      </w:r>
      <w:hyperlink r:id="rId108">
        <w:r>
          <w:rPr>
            <w:rStyle w:val="Hyperlink"/>
            <w:rFonts w:ascii="Times New Roman" w:hAnsi="Times New Roman"/>
            <w:b w:val="false"/>
            <w:i w:val="false"/>
            <w:color w:val="000000"/>
            <w:sz w:val="22"/>
          </w:rPr>
          <w:t>101.110(8)</w:t>
        </w:r>
        <w:r>
          <w:rPr>
            <w:rFonts w:ascii="Times New Roman" w:hAnsi="Times New Roman"/>
            <w:b w:val="false"/>
            <w:i/>
            <w:color w:val="000000"/>
            <w:sz w:val="22"/>
          </w:rPr>
          <w:t>“b”</w:t>
        </w:r>
      </w:hyperlink>
      <w:r>
        <w:rPr>
          <w:rFonts w:ascii="Times New Roman" w:hAnsi="Times New Roman"/>
          <w:b w:val="false"/>
          <w:i w:val="false"/>
          <w:color w:val="000000"/>
          <w:sz w:val="22"/>
        </w:rPr>
        <w:t xml:space="preserve"> is not being achieved through the remedy selected. In such cases, the owner or operator must notify the department and implement other methods or techniques that could practicably achieve compliance with the requirements unless the owner or operator makes the determination under </w:t>
      </w:r>
      <w:hyperlink r:id="rId109">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notification shall explain how the proposed alternative methods or techniques will meet the standards in </w:t>
      </w:r>
      <w:hyperlink r:id="rId110">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notification shall indicate that the determination was made pursuant to </w:t>
      </w:r>
      <w:hyperlink r:id="rId111">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notification shall also specify a schedule(s) for implementing and completing the remedial activities to comply with </w:t>
      </w:r>
      <w:hyperlink r:id="rId112">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alternative measures to comply with </w:t>
      </w:r>
      <w:hyperlink r:id="rId113">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Within 90 days of approval by the department for the proposed alternative methods or techniques or the determination of impracticability, the owner or operator shall implement the proposed alternative methods or techniques meeting the standards of </w:t>
      </w:r>
      <w:hyperlink r:id="rId114">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implement alternative measures meeting the requirements of </w:t>
      </w:r>
      <w:hyperlink r:id="rId115">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determines that compliance with requirements under </w:t>
      </w:r>
      <w:hyperlink r:id="rId116">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cannot be practicably achieved with any currently available methods, the owner or operator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certification of a qualified groundwater scientist and approval by the department that compliance with requirements under </w:t>
      </w:r>
      <w:hyperlink r:id="rId117">
        <w:r>
          <w:rPr>
            <w:rStyle w:val="Hyperlink"/>
            <w:rFonts w:ascii="Times New Roman" w:hAnsi="Times New Roman"/>
            <w:b w:val="false"/>
            <w:i w:val="false"/>
            <w:color w:val="000000"/>
            <w:sz w:val="22"/>
          </w:rPr>
          <w:t>101.110(8)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cannot be practicably achieved with any currently available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 alternate measures to control exposure of humans or the environment to residual contamination, as necessary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Implement alternate measures for control of the sources of contamination or for removal or decontamination of equipment, units, devices, or structures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Technically practicable;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Consistent with the overall objective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14 days that a report justifying the alternate measures prior to implementation has been placed in the operating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solid wastes that are managed pursuant to a remedy required under </w:t>
      </w:r>
      <w:hyperlink r:id="rId118">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xml:space="preserve">, or an interim measure required under </w:t>
      </w:r>
      <w:hyperlink r:id="rId119">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“a”</w:t>
      </w:r>
      <w:r>
        <w:rPr>
          <w:rFonts w:ascii="Times New Roman" w:hAnsi="Times New Roman"/>
          <w:b w:val="false"/>
          <w:i w:val="false"/>
          <w:color w:val="000000"/>
          <w:sz w:val="22"/>
        </w:rPr>
        <w:t>(3), shall be managed in a manner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protective of human health and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Complies with applicable RCRA,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Remedies selected pursuant to </w:t>
      </w:r>
      <w:hyperlink r:id="rId120">
        <w:r>
          <w:rPr>
            <w:rStyle w:val="Hyperlink"/>
            <w:rFonts w:ascii="Times New Roman" w:hAnsi="Times New Roman"/>
            <w:b w:val="false"/>
            <w:i w:val="false"/>
            <w:color w:val="000000"/>
            <w:sz w:val="22"/>
          </w:rPr>
          <w:t>101.110(8)</w:t>
        </w:r>
      </w:hyperlink>
      <w:r>
        <w:rPr>
          <w:rFonts w:ascii="Times New Roman" w:hAnsi="Times New Roman"/>
          <w:b w:val="false"/>
          <w:i w:val="false"/>
          <w:color w:val="000000"/>
          <w:sz w:val="22"/>
        </w:rPr>
        <w:t xml:space="preserve"> shall be considered complete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complies with the groundwater protection standards established under </w:t>
      </w:r>
      <w:hyperlink r:id="rId121">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at all points within the plume of contamination that lie beyond the groundwater monitoring well system established under </w:t>
      </w:r>
      <w:hyperlink r:id="rId122">
        <w:r>
          <w:rPr>
            <w:rStyle w:val="Hyperlink"/>
            <w:rFonts w:ascii="Times New Roman" w:hAnsi="Times New Roman"/>
            <w:b w:val="false"/>
            <w:i w:val="false"/>
            <w:color w:val="000000"/>
            <w:sz w:val="22"/>
          </w:rPr>
          <w:t>101.110(2)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groundwater protection standards established under </w:t>
      </w:r>
      <w:hyperlink r:id="rId123">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has been achieved by demonstrating that concentrations of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Appendix II, constituents have not exceeded the groundwater protection standard(s) for a period of three consecutive years using the statistical procedures and performance standards </w:t>
      </w:r>
      <w:hyperlink r:id="rId124">
        <w:r>
          <w:rPr>
            <w:rStyle w:val="Hyperlink"/>
            <w:rFonts w:ascii="Times New Roman" w:hAnsi="Times New Roman"/>
            <w:b w:val="false"/>
            <w:i w:val="false"/>
            <w:color w:val="000000"/>
            <w:sz w:val="22"/>
          </w:rPr>
          <w:t>101.110(4)</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The department may specify an alternative length of time during which the owner or operator must demonstrate that concentrations of </w:t>
      </w:r>
      <w:r>
        <w:rPr>
          <w:rFonts w:ascii="Times New Roman" w:hAnsi="Times New Roman"/>
          <w:b w:val="false"/>
          <w:i w:val="false"/>
          <w:color w:val="000000"/>
          <w:sz w:val="22"/>
        </w:rPr>
        <w:t>40 CFR Part 258</w:t>
      </w:r>
      <w:r>
        <w:rPr>
          <w:rFonts w:ascii="Times New Roman" w:hAnsi="Times New Roman"/>
          <w:b w:val="false"/>
          <w:i w:val="false"/>
          <w:color w:val="000000"/>
          <w:sz w:val="22"/>
        </w:rPr>
        <w:t>, Appendix II, constituents have not exceeded the groundwater protection standard(s), taking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and concentration of the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behavior characteristics of the hazardous constituents in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accuracy of monitoring or modeling techniques, including any seasonal, meteorological, or other environmental variables that may affect accuracy;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characteristics of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actions required by the department to complete the remedy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remedy, the owner or operator must notify the department within 14 days that a certification has been placed in the operating record verifying that the remedy has been completed in compliance with the requirements of </w:t>
      </w:r>
      <w:hyperlink r:id="rId125">
        <w:r>
          <w:rPr>
            <w:rStyle w:val="Hyperlink"/>
            <w:rFonts w:ascii="Times New Roman" w:hAnsi="Times New Roman"/>
            <w:b w:val="false"/>
            <w:i w:val="false"/>
            <w:color w:val="000000"/>
            <w:sz w:val="22"/>
          </w:rPr>
          <w:t>101.110(9)</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certification must be signed by the owner or operator and by a qualified groundwater scientist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When, upon completion of the certification, the owner or operator determines that the corrective action remedy has been completed in accordance with the requirements under </w:t>
      </w:r>
      <w:hyperlink r:id="rId126">
        <w:r>
          <w:rPr>
            <w:rStyle w:val="Hyperlink"/>
            <w:rFonts w:ascii="Times New Roman" w:hAnsi="Times New Roman"/>
            <w:b w:val="false"/>
            <w:i w:val="false"/>
            <w:color w:val="000000"/>
            <w:sz w:val="22"/>
          </w:rPr>
          <w:t>101.110(9)</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owner or operator shall be released from the requirements for financial assurance for corrective action pursuant to </w:t>
      </w:r>
      <w:hyperlink r:id="rId127">
        <w:r>
          <w:rPr>
            <w:rStyle w:val="Hyperlink"/>
            <w:rFonts w:ascii="Times New Roman" w:hAnsi="Times New Roman"/>
            <w:b w:val="false"/>
            <w:i w:val="false"/>
            <w:color w:val="000000"/>
            <w:sz w:val="22"/>
          </w:rPr>
          <w:t>101.114(5)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101.110(10)</w:t>
      </w:r>
      <w:r>
        <w:rPr>
          <w:rFonts w:ascii="Times New Roman" w:hAnsi="Times New Roman"/>
          <w:b w:val="false"/>
          <w:i w:val="false"/>
          <w:color w:val="000000"/>
          <w:sz w:val="22"/>
        </w:rPr>
        <w:t> </w:t>
      </w:r>
      <w:r>
        <w:rPr>
          <w:rFonts w:ascii="Times New Roman" w:hAnsi="Times New Roman"/>
          <w:b w:val="false"/>
          <w:i/>
          <w:color w:val="000000"/>
          <w:sz w:val="22"/>
        </w:rPr>
        <w:t xml:space="preserve">Annual water quality reports (AWQR). </w:t>
      </w:r>
      <w:r>
        <w:rPr>
          <w:rFonts w:ascii="Times New Roman" w:hAnsi="Times New Roman"/>
          <w:b w:val="false"/>
          <w:i w:val="false"/>
          <w:color w:val="000000"/>
          <w:sz w:val="22"/>
        </w:rPr>
        <w:t>The owner or operator shall submit an annual report to the department detailing the water quality monitoring sampling locations and results, assessments, selection of remedies, implementation of corrective action, and results of corrective action remedies to address SSIs, if any, during the previous year. This report shall include a site map that delineates all monitoring points where water quality samples were taken and plumes of contamination, if any. The report shall contain a narrative explaining and interpreting all of the data collected during the previous year. The report shall be due each year on a date set by the department in the facility’s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2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110.pdf" Type="http://schemas.openxmlformats.org/officeDocument/2006/relationships/hyperlink" Id="rId4"/>
    <Relationship TargetMode="External" Target="https://www.legis.iowa.gov/docs/iac/rule/567.101.110.pdf" Type="http://schemas.openxmlformats.org/officeDocument/2006/relationships/hyperlink" Id="rId5"/>
    <Relationship TargetMode="External" Target="https://www.legis.iowa.gov/docs/iac/rule/567.101.110.pdf" Type="http://schemas.openxmlformats.org/officeDocument/2006/relationships/hyperlink" Id="rId6"/>
    <Relationship TargetMode="External" Target="https://www.legis.iowa.gov/docs/iac/rule/567.101.110.pdf" Type="http://schemas.openxmlformats.org/officeDocument/2006/relationships/hyperlink" Id="rId7"/>
    <Relationship TargetMode="External" Target="https://www.legis.iowa.gov/docs/iac/rule/567.101.110.pdf" Type="http://schemas.openxmlformats.org/officeDocument/2006/relationships/hyperlink" Id="rId8"/>
    <Relationship TargetMode="External" Target="https://www.legis.iowa.gov/docs/iac/rule/567.101.110.pdf" Type="http://schemas.openxmlformats.org/officeDocument/2006/relationships/hyperlink" Id="rId9"/>
    <Relationship TargetMode="External" Target="https://www.legis.iowa.gov/docs/iac/rule/567.101.110.pdf" Type="http://schemas.openxmlformats.org/officeDocument/2006/relationships/hyperlink" Id="rId10"/>
    <Relationship TargetMode="External" Target="https://www.legis.iowa.gov/docs/iac/rule/567.101.110.pdf" Type="http://schemas.openxmlformats.org/officeDocument/2006/relationships/hyperlink" Id="rId11"/>
    <Relationship TargetMode="External" Target="https://www.legis.iowa.gov/docs/iac/rule/567.101.110.pdf" Type="http://schemas.openxmlformats.org/officeDocument/2006/relationships/hyperlink" Id="rId12"/>
    <Relationship TargetMode="External" Target="https://www.legis.iowa.gov/docs/iac/rule/567.101.110.pdf" Type="http://schemas.openxmlformats.org/officeDocument/2006/relationships/hyperlink" Id="rId13"/>
    <Relationship TargetMode="External" Target="https://www.legis.iowa.gov/docs/iac/rule/567.101.110.pdf" Type="http://schemas.openxmlformats.org/officeDocument/2006/relationships/hyperlink" Id="rId14"/>
    <Relationship TargetMode="External" Target="https://www.legis.iowa.gov/docs/iac/rule/567.101.110.pdf" Type="http://schemas.openxmlformats.org/officeDocument/2006/relationships/hyperlink" Id="rId15"/>
    <Relationship TargetMode="External" Target="https://www.legis.iowa.gov/docs/iac/rule/567.101.110.pdf" Type="http://schemas.openxmlformats.org/officeDocument/2006/relationships/hyperlink" Id="rId16"/>
    <Relationship TargetMode="External" Target="https://www.legis.iowa.gov/docs/iac/rule/567.101.110.pdf" Type="http://schemas.openxmlformats.org/officeDocument/2006/relationships/hyperlink" Id="rId17"/>
    <Relationship TargetMode="External" Target="https://www.legis.iowa.gov/docs/iac/rule/567.101.110.pdf" Type="http://schemas.openxmlformats.org/officeDocument/2006/relationships/hyperlink" Id="rId18"/>
    <Relationship TargetMode="External" Target="https://www.legis.iowa.gov/docs/iac/rule/567.101.107.pdf" Type="http://schemas.openxmlformats.org/officeDocument/2006/relationships/hyperlink" Id="rId19"/>
    <Relationship TargetMode="External" Target="https://www.legis.iowa.gov/docs/iac/rule/567.101.107.pdf" Type="http://schemas.openxmlformats.org/officeDocument/2006/relationships/hyperlink" Id="rId20"/>
    <Relationship TargetMode="External" Target="https://www.legis.iowa.gov/docs/iac/rule/567.101.107.pdf" Type="http://schemas.openxmlformats.org/officeDocument/2006/relationships/hyperlink" Id="rId21"/>
    <Relationship TargetMode="External" Target="https://www.legis.iowa.gov/docs/iac/rule/567.101.110.pdf" Type="http://schemas.openxmlformats.org/officeDocument/2006/relationships/hyperlink" Id="rId22"/>
    <Relationship TargetMode="External" Target="https://www.legis.iowa.gov/docs/iac/rule/567.101.110.pdf" Type="http://schemas.openxmlformats.org/officeDocument/2006/relationships/hyperlink" Id="rId23"/>
    <Relationship TargetMode="External" Target="https://www.legis.iowa.gov/docs/iac/rule/567.101.106.pdf" Type="http://schemas.openxmlformats.org/officeDocument/2006/relationships/hyperlink" Id="rId24"/>
    <Relationship TargetMode="External" Target="https://www.legis.iowa.gov/docs/iac/rule/567.101.8.pdf" Type="http://schemas.openxmlformats.org/officeDocument/2006/relationships/hyperlink" Id="rId25"/>
    <Relationship TargetMode="External" Target="https://www.legis.iowa.gov/docs/iac/rule/567.101.8.pdf" Type="http://schemas.openxmlformats.org/officeDocument/2006/relationships/hyperlink" Id="rId26"/>
    <Relationship TargetMode="External" Target="https://www.legis.iowa.gov/docs/iac/rule/567.101.110.pdf" Type="http://schemas.openxmlformats.org/officeDocument/2006/relationships/hyperlink" Id="rId27"/>
    <Relationship TargetMode="External" Target="https://www.legis.iowa.gov/docs/iac/rule/567.101.106.pdf" Type="http://schemas.openxmlformats.org/officeDocument/2006/relationships/hyperlink" Id="rId28"/>
    <Relationship TargetMode="External" Target="https://www.legis.iowa.gov/docs/iac/rule/567.101.106.pdf" Type="http://schemas.openxmlformats.org/officeDocument/2006/relationships/hyperlink" Id="rId29"/>
    <Relationship TargetMode="External" Target="https://www.legis.iowa.gov/docs/iac/rule/567.101.106.pdf" Type="http://schemas.openxmlformats.org/officeDocument/2006/relationships/hyperlink" Id="rId30"/>
    <Relationship TargetMode="External" Target="https://www.legis.iowa.gov/docs/iac/rule/567.101.8.pdf" Type="http://schemas.openxmlformats.org/officeDocument/2006/relationships/hyperlink" Id="rId31"/>
    <Relationship TargetMode="External" Target="https://www.legis.iowa.gov/docs/iac/rule/567.101.8.pdf" Type="http://schemas.openxmlformats.org/officeDocument/2006/relationships/hyperlink" Id="rId32"/>
    <Relationship TargetMode="External" Target="https://www.legis.iowa.gov/docs/iac/rule/567.101.110.pdf" Type="http://schemas.openxmlformats.org/officeDocument/2006/relationships/hyperlink" Id="rId33"/>
    <Relationship TargetMode="External" Target="https://www.legis.iowa.gov/docs/iac/rule/567.101.110.pdf" Type="http://schemas.openxmlformats.org/officeDocument/2006/relationships/hyperlink" Id="rId34"/>
    <Relationship TargetMode="External" Target="https://www.legis.iowa.gov/docs/iac/chapter/567.83.pdf" Type="http://schemas.openxmlformats.org/officeDocument/2006/relationships/hyperlink" Id="rId35"/>
    <Relationship TargetMode="External" Target="https://www.legis.iowa.gov/docs/iac/rule/567.101.110.pdf" Type="http://schemas.openxmlformats.org/officeDocument/2006/relationships/hyperlink" Id="rId36"/>
    <Relationship TargetMode="External" Target="https://www.legis.iowa.gov/docs/iac/rule/567.101.110.pdf" Type="http://schemas.openxmlformats.org/officeDocument/2006/relationships/hyperlink" Id="rId37"/>
    <Relationship TargetMode="External" Target="https://www.legis.iowa.gov/docs/iac/rule/567.101.110.pdf" Type="http://schemas.openxmlformats.org/officeDocument/2006/relationships/hyperlink" Id="rId38"/>
    <Relationship TargetMode="External" Target="https://www.legis.iowa.gov/docs/iac/rule/567.101.110.pdf" Type="http://schemas.openxmlformats.org/officeDocument/2006/relationships/hyperlink" Id="rId39"/>
    <Relationship TargetMode="External" Target="https://www.legis.iowa.gov/docs/iac/rule/567.101.110.pdf" Type="http://schemas.openxmlformats.org/officeDocument/2006/relationships/hyperlink" Id="rId40"/>
    <Relationship TargetMode="External" Target="https://www.legis.iowa.gov/docs/iac/rule/567.101.110.pdf" Type="http://schemas.openxmlformats.org/officeDocument/2006/relationships/hyperlink" Id="rId41"/>
    <Relationship TargetMode="External" Target="https://www.legis.iowa.gov/docs/iac/rule/567.101.110.pdf" Type="http://schemas.openxmlformats.org/officeDocument/2006/relationships/hyperlink" Id="rId42"/>
    <Relationship TargetMode="External" Target="https://www.legis.iowa.gov/docs/iac/rule/567.101.110.pdf" Type="http://schemas.openxmlformats.org/officeDocument/2006/relationships/hyperlink" Id="rId43"/>
    <Relationship TargetMode="External" Target="https://www.legis.iowa.gov/docs/iac/rule/567.101.110.pdf" Type="http://schemas.openxmlformats.org/officeDocument/2006/relationships/hyperlink" Id="rId44"/>
    <Relationship TargetMode="External" Target="https://www.legis.iowa.gov/docs/iac/rule/567.101.110.pdf" Type="http://schemas.openxmlformats.org/officeDocument/2006/relationships/hyperlink" Id="rId45"/>
    <Relationship TargetMode="External" Target="https://www.legis.iowa.gov/docs/iac/rule/567.101.110.pdf" Type="http://schemas.openxmlformats.org/officeDocument/2006/relationships/hyperlink" Id="rId46"/>
    <Relationship TargetMode="External" Target="https://www.legis.iowa.gov/docs/iac/rule/567.101.110.pdf" Type="http://schemas.openxmlformats.org/officeDocument/2006/relationships/hyperlink" Id="rId47"/>
    <Relationship TargetMode="External" Target="https://www.legis.iowa.gov/docs/iac/rule/567.101.110.pdf" Type="http://schemas.openxmlformats.org/officeDocument/2006/relationships/hyperlink" Id="rId48"/>
    <Relationship TargetMode="External" Target="https://www.legis.iowa.gov/docs/iac/rule/567.101.110.pdf" Type="http://schemas.openxmlformats.org/officeDocument/2006/relationships/hyperlink" Id="rId49"/>
    <Relationship TargetMode="External" Target="https://www.legis.iowa.gov/docs/iac/rule/567.101.110.pdf" Type="http://schemas.openxmlformats.org/officeDocument/2006/relationships/hyperlink" Id="rId50"/>
    <Relationship TargetMode="External" Target="https://www.legis.iowa.gov/docs/iac/rule/567.101.110.pdf" Type="http://schemas.openxmlformats.org/officeDocument/2006/relationships/hyperlink" Id="rId51"/>
    <Relationship TargetMode="External" Target="https://www.legis.iowa.gov/docs/iac/rule/567.101.110.pdf" Type="http://schemas.openxmlformats.org/officeDocument/2006/relationships/hyperlink" Id="rId52"/>
    <Relationship TargetMode="External" Target="https://www.legis.iowa.gov/docs/iac/rule/567.101.110.pdf" Type="http://schemas.openxmlformats.org/officeDocument/2006/relationships/hyperlink" Id="rId53"/>
    <Relationship TargetMode="External" Target="https://www.legis.iowa.gov/docs/iac/rule/567.101.110.pdf" Type="http://schemas.openxmlformats.org/officeDocument/2006/relationships/hyperlink" Id="rId54"/>
    <Relationship TargetMode="External" Target="https://www.legis.iowa.gov/docs/iac/rule/567.101.110.pdf" Type="http://schemas.openxmlformats.org/officeDocument/2006/relationships/hyperlink" Id="rId55"/>
    <Relationship TargetMode="External" Target="https://www.legis.iowa.gov/docs/iac/rule/567.101.110.pdf" Type="http://schemas.openxmlformats.org/officeDocument/2006/relationships/hyperlink" Id="rId56"/>
    <Relationship TargetMode="External" Target="https://www.legis.iowa.gov/docs/iac/rule/567.101.110.pdf" Type="http://schemas.openxmlformats.org/officeDocument/2006/relationships/hyperlink" Id="rId57"/>
    <Relationship TargetMode="External" Target="https://www.legis.iowa.gov/docs/iac/rule/567.101.110.pdf" Type="http://schemas.openxmlformats.org/officeDocument/2006/relationships/hyperlink" Id="rId58"/>
    <Relationship TargetMode="External" Target="https://www.legis.iowa.gov/docs/iac/rule/567.101.110.pdf" Type="http://schemas.openxmlformats.org/officeDocument/2006/relationships/hyperlink" Id="rId59"/>
    <Relationship TargetMode="External" Target="https://www.legis.iowa.gov/docs/iac/rule/567.101.110.pdf" Type="http://schemas.openxmlformats.org/officeDocument/2006/relationships/hyperlink" Id="rId60"/>
    <Relationship TargetMode="External" Target="https://www.legis.iowa.gov/docs/iac/rule/567.101.110.pdf" Type="http://schemas.openxmlformats.org/officeDocument/2006/relationships/hyperlink" Id="rId61"/>
    <Relationship TargetMode="External" Target="https://www.legis.iowa.gov/docs/iac/rule/567.101.110.pdf" Type="http://schemas.openxmlformats.org/officeDocument/2006/relationships/hyperlink" Id="rId62"/>
    <Relationship TargetMode="External" Target="https://www.legis.iowa.gov/docs/iac/rule/567.101.110.pdf" Type="http://schemas.openxmlformats.org/officeDocument/2006/relationships/hyperlink" Id="rId63"/>
    <Relationship TargetMode="External" Target="https://www.legis.iowa.gov/docs/iac/rule/567.101.110.pdf" Type="http://schemas.openxmlformats.org/officeDocument/2006/relationships/hyperlink" Id="rId64"/>
    <Relationship TargetMode="External" Target="https://www.legis.iowa.gov/docs/iac/rule/567.101.110.pdf" Type="http://schemas.openxmlformats.org/officeDocument/2006/relationships/hyperlink" Id="rId65"/>
    <Relationship TargetMode="External" Target="https://www.legis.iowa.gov/docs/iac/rule/567.101.110.pdf" Type="http://schemas.openxmlformats.org/officeDocument/2006/relationships/hyperlink" Id="rId66"/>
    <Relationship TargetMode="External" Target="https://www.legis.iowa.gov/docs/iac/rule/567.101.110.pdf" Type="http://schemas.openxmlformats.org/officeDocument/2006/relationships/hyperlink" Id="rId67"/>
    <Relationship TargetMode="External" Target="https://www.legis.iowa.gov/docs/iac/rule/567.101.110.pdf" Type="http://schemas.openxmlformats.org/officeDocument/2006/relationships/hyperlink" Id="rId68"/>
    <Relationship TargetMode="External" Target="https://www.legis.iowa.gov/docs/iac/rule/567.101.110.pdf" Type="http://schemas.openxmlformats.org/officeDocument/2006/relationships/hyperlink" Id="rId69"/>
    <Relationship TargetMode="External" Target="https://www.legis.iowa.gov/docs/iac/rule/567.101.110.pdf" Type="http://schemas.openxmlformats.org/officeDocument/2006/relationships/hyperlink" Id="rId70"/>
    <Relationship TargetMode="External" Target="https://www.legis.iowa.gov/docs/iac/rule/567.101.110.pdf" Type="http://schemas.openxmlformats.org/officeDocument/2006/relationships/hyperlink" Id="rId71"/>
    <Relationship TargetMode="External" Target="https://www.legis.iowa.gov/docs/iac/rule/567.101.110.pdf" Type="http://schemas.openxmlformats.org/officeDocument/2006/relationships/hyperlink" Id="rId72"/>
    <Relationship TargetMode="External" Target="https://www.legis.iowa.gov/docs/iac/rule/567.101.110.pdf" Type="http://schemas.openxmlformats.org/officeDocument/2006/relationships/hyperlink" Id="rId73"/>
    <Relationship TargetMode="External" Target="https://www.legis.iowa.gov/docs/iac/rule/567.101.110.pdf" Type="http://schemas.openxmlformats.org/officeDocument/2006/relationships/hyperlink" Id="rId74"/>
    <Relationship TargetMode="External" Target="https://www.legis.iowa.gov/docs/iac/rule/567.101.110.pdf" Type="http://schemas.openxmlformats.org/officeDocument/2006/relationships/hyperlink" Id="rId75"/>
    <Relationship TargetMode="External" Target="https://www.legis.iowa.gov/docs/iac/rule/567.101.110.pdf" Type="http://schemas.openxmlformats.org/officeDocument/2006/relationships/hyperlink" Id="rId76"/>
    <Relationship TargetMode="External" Target="https://www.legis.iowa.gov/docs/iac/rule/567.101.110.pdf" Type="http://schemas.openxmlformats.org/officeDocument/2006/relationships/hyperlink" Id="rId77"/>
    <Relationship TargetMode="External" Target="https://www.legis.iowa.gov/docs/iac/rule/567.101.110.pdf" Type="http://schemas.openxmlformats.org/officeDocument/2006/relationships/hyperlink" Id="rId78"/>
    <Relationship TargetMode="External" Target="https://www.legis.iowa.gov/docs/iac/rule/567.101.110.pdf" Type="http://schemas.openxmlformats.org/officeDocument/2006/relationships/hyperlink" Id="rId79"/>
    <Relationship TargetMode="External" Target="https://www.legis.iowa.gov/docs/iac/rule/567.101.110.pdf" Type="http://schemas.openxmlformats.org/officeDocument/2006/relationships/hyperlink" Id="rId80"/>
    <Relationship TargetMode="External" Target="https://www.legis.iowa.gov/docs/iac/rule/567.101.110.pdf" Type="http://schemas.openxmlformats.org/officeDocument/2006/relationships/hyperlink" Id="rId81"/>
    <Relationship TargetMode="External" Target="https://www.legis.iowa.gov/docs/iac/rule/567.101.110.pdf" Type="http://schemas.openxmlformats.org/officeDocument/2006/relationships/hyperlink" Id="rId82"/>
    <Relationship TargetMode="External" Target="https://www.legis.iowa.gov/docs/iac/rule/567.101.110.pdf" Type="http://schemas.openxmlformats.org/officeDocument/2006/relationships/hyperlink" Id="rId83"/>
    <Relationship TargetMode="External" Target="https://www.legis.iowa.gov/docs/iac/rule/567.101.110.pdf" Type="http://schemas.openxmlformats.org/officeDocument/2006/relationships/hyperlink" Id="rId84"/>
    <Relationship TargetMode="External" Target="https://www.legis.iowa.gov/docs/iac/rule/567.101.110.pdf" Type="http://schemas.openxmlformats.org/officeDocument/2006/relationships/hyperlink" Id="rId85"/>
    <Relationship TargetMode="External" Target="https://www.legis.iowa.gov/docs/iac/rule/567.101.110.pdf" Type="http://schemas.openxmlformats.org/officeDocument/2006/relationships/hyperlink" Id="rId86"/>
    <Relationship TargetMode="External" Target="https://www.legis.iowa.gov/docs/iac/rule/567.101.110.pdf" Type="http://schemas.openxmlformats.org/officeDocument/2006/relationships/hyperlink" Id="rId87"/>
    <Relationship TargetMode="External" Target="https://www.legis.iowa.gov/docs/iac/rule/567.101.110.pdf" Type="http://schemas.openxmlformats.org/officeDocument/2006/relationships/hyperlink" Id="rId88"/>
    <Relationship TargetMode="External" Target="https://www.legis.iowa.gov/docs/iac/chapter/567.137.pdf" Type="http://schemas.openxmlformats.org/officeDocument/2006/relationships/hyperlink" Id="rId89"/>
    <Relationship TargetMode="External" Target="https://www.legis.iowa.gov/docs/iac/rule/567.101.110.pdf" Type="http://schemas.openxmlformats.org/officeDocument/2006/relationships/hyperlink" Id="rId90"/>
    <Relationship TargetMode="External" Target="https://www.legis.iowa.gov/docs/iac/rule/567.101.110.pdf" Type="http://schemas.openxmlformats.org/officeDocument/2006/relationships/hyperlink" Id="rId91"/>
    <Relationship TargetMode="External" Target="https://www.legis.iowa.gov/docs/iac/rule/567.101.110.pdf" Type="http://schemas.openxmlformats.org/officeDocument/2006/relationships/hyperlink" Id="rId92"/>
    <Relationship TargetMode="External" Target="https://www.legis.iowa.gov/docs/iac/rule/567.101.110.pdf" Type="http://schemas.openxmlformats.org/officeDocument/2006/relationships/hyperlink" Id="rId93"/>
    <Relationship TargetMode="External" Target="https://www.legis.iowa.gov/docs/iac/rule/567.101.110.pdf" Type="http://schemas.openxmlformats.org/officeDocument/2006/relationships/hyperlink" Id="rId94"/>
    <Relationship TargetMode="External" Target="https://www.legis.iowa.gov/docs/iac/rule/567.101.110.pdf" Type="http://schemas.openxmlformats.org/officeDocument/2006/relationships/hyperlink" Id="rId95"/>
    <Relationship TargetMode="External" Target="https://www.legis.iowa.gov/docs/iac/rule/567.101.110.pdf" Type="http://schemas.openxmlformats.org/officeDocument/2006/relationships/hyperlink" Id="rId96"/>
    <Relationship TargetMode="External" Target="https://www.legis.iowa.gov/docs/iac/rule/567.101.110.pdf" Type="http://schemas.openxmlformats.org/officeDocument/2006/relationships/hyperlink" Id="rId97"/>
    <Relationship TargetMode="External" Target="https://www.legis.iowa.gov/docs/iac/rule/567.101.110.pdf" Type="http://schemas.openxmlformats.org/officeDocument/2006/relationships/hyperlink" Id="rId98"/>
    <Relationship TargetMode="External" Target="https://www.legis.iowa.gov/docs/iac/rule/567.101.110.pdf" Type="http://schemas.openxmlformats.org/officeDocument/2006/relationships/hyperlink" Id="rId99"/>
    <Relationship TargetMode="External" Target="https://www.legis.iowa.gov/docs/iac/rule/567.101.110.pdf" Type="http://schemas.openxmlformats.org/officeDocument/2006/relationships/hyperlink" Id="rId100"/>
    <Relationship TargetMode="External" Target="https://www.legis.iowa.gov/docs/iac/rule/567.101.110.pdf" Type="http://schemas.openxmlformats.org/officeDocument/2006/relationships/hyperlink" Id="rId101"/>
    <Relationship TargetMode="External" Target="https://www.legis.iowa.gov/docs/iac/rule/567.101.110.pdf" Type="http://schemas.openxmlformats.org/officeDocument/2006/relationships/hyperlink" Id="rId102"/>
    <Relationship TargetMode="External" Target="https://www.legis.iowa.gov/docs/iac/rule/567.101.110.pdf" Type="http://schemas.openxmlformats.org/officeDocument/2006/relationships/hyperlink" Id="rId103"/>
    <Relationship TargetMode="External" Target="https://www.legis.iowa.gov/docs/iac/rule/567.101.110.pdf" Type="http://schemas.openxmlformats.org/officeDocument/2006/relationships/hyperlink" Id="rId104"/>
    <Relationship TargetMode="External" Target="https://www.legis.iowa.gov/docs/iac/rule/567.101.110.pdf" Type="http://schemas.openxmlformats.org/officeDocument/2006/relationships/hyperlink" Id="rId105"/>
    <Relationship TargetMode="External" Target="https://www.legis.iowa.gov/docs/iac/rule/567.101.110.pdf" Type="http://schemas.openxmlformats.org/officeDocument/2006/relationships/hyperlink" Id="rId106"/>
    <Relationship TargetMode="External" Target="https://www.legis.iowa.gov/docs/iac/rule/567.101.110.pdf" Type="http://schemas.openxmlformats.org/officeDocument/2006/relationships/hyperlink" Id="rId107"/>
    <Relationship TargetMode="External" Target="https://www.legis.iowa.gov/docs/iac/rule/567.101.110.pdf" Type="http://schemas.openxmlformats.org/officeDocument/2006/relationships/hyperlink" Id="rId108"/>
    <Relationship TargetMode="External" Target="https://www.legis.iowa.gov/docs/iac/rule/567.101.110.pdf" Type="http://schemas.openxmlformats.org/officeDocument/2006/relationships/hyperlink" Id="rId109"/>
    <Relationship TargetMode="External" Target="https://www.legis.iowa.gov/docs/iac/rule/567.101.110.pdf" Type="http://schemas.openxmlformats.org/officeDocument/2006/relationships/hyperlink" Id="rId110"/>
    <Relationship TargetMode="External" Target="https://www.legis.iowa.gov/docs/iac/rule/567.101.110.pdf" Type="http://schemas.openxmlformats.org/officeDocument/2006/relationships/hyperlink" Id="rId111"/>
    <Relationship TargetMode="External" Target="https://www.legis.iowa.gov/docs/iac/rule/567.101.110.pdf" Type="http://schemas.openxmlformats.org/officeDocument/2006/relationships/hyperlink" Id="rId112"/>
    <Relationship TargetMode="External" Target="https://www.legis.iowa.gov/docs/iac/rule/567.101.110.pdf" Type="http://schemas.openxmlformats.org/officeDocument/2006/relationships/hyperlink" Id="rId113"/>
    <Relationship TargetMode="External" Target="https://www.legis.iowa.gov/docs/iac/rule/567.101.110.pdf" Type="http://schemas.openxmlformats.org/officeDocument/2006/relationships/hyperlink" Id="rId114"/>
    <Relationship TargetMode="External" Target="https://www.legis.iowa.gov/docs/iac/rule/567.101.110.pdf" Type="http://schemas.openxmlformats.org/officeDocument/2006/relationships/hyperlink" Id="rId115"/>
    <Relationship TargetMode="External" Target="https://www.legis.iowa.gov/docs/iac/rule/567.101.110.pdf" Type="http://schemas.openxmlformats.org/officeDocument/2006/relationships/hyperlink" Id="rId116"/>
    <Relationship TargetMode="External" Target="https://www.legis.iowa.gov/docs/iac/rule/567.101.110.pdf" Type="http://schemas.openxmlformats.org/officeDocument/2006/relationships/hyperlink" Id="rId117"/>
    <Relationship TargetMode="External" Target="https://www.legis.iowa.gov/docs/iac/rule/567.101.110.pdf" Type="http://schemas.openxmlformats.org/officeDocument/2006/relationships/hyperlink" Id="rId118"/>
    <Relationship TargetMode="External" Target="https://www.legis.iowa.gov/docs/iac/rule/567.101.110.pdf" Type="http://schemas.openxmlformats.org/officeDocument/2006/relationships/hyperlink" Id="rId119"/>
    <Relationship TargetMode="External" Target="https://www.legis.iowa.gov/docs/iac/rule/567.101.110.pdf" Type="http://schemas.openxmlformats.org/officeDocument/2006/relationships/hyperlink" Id="rId120"/>
    <Relationship TargetMode="External" Target="https://www.legis.iowa.gov/docs/iac/rule/567.101.110.pdf" Type="http://schemas.openxmlformats.org/officeDocument/2006/relationships/hyperlink" Id="rId121"/>
    <Relationship TargetMode="External" Target="https://www.legis.iowa.gov/docs/iac/rule/567.101.110.pdf" Type="http://schemas.openxmlformats.org/officeDocument/2006/relationships/hyperlink" Id="rId122"/>
    <Relationship TargetMode="External" Target="https://www.legis.iowa.gov/docs/iac/rule/567.101.110.pdf" Type="http://schemas.openxmlformats.org/officeDocument/2006/relationships/hyperlink" Id="rId123"/>
    <Relationship TargetMode="External" Target="https://www.legis.iowa.gov/docs/iac/rule/567.101.110.pdf" Type="http://schemas.openxmlformats.org/officeDocument/2006/relationships/hyperlink" Id="rId124"/>
    <Relationship TargetMode="External" Target="https://www.legis.iowa.gov/docs/iac/rule/567.101.110.pdf" Type="http://schemas.openxmlformats.org/officeDocument/2006/relationships/hyperlink" Id="rId125"/>
    <Relationship TargetMode="External" Target="https://www.legis.iowa.gov/docs/iac/rule/567.101.110.pdf" Type="http://schemas.openxmlformats.org/officeDocument/2006/relationships/hyperlink" Id="rId126"/>
    <Relationship TargetMode="External" Target="https://www.legis.iowa.gov/docs/iac/rule/567.101.114.pdf" Type="http://schemas.openxmlformats.org/officeDocument/2006/relationships/hyperlink" Id="rId127"/>
    <Relationship Target="footer.xml" Type="http://schemas.openxmlformats.org/officeDocument/2006/relationships/footer" Id="rId1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