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567—101.11</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of title. </w:t>
      </w:r>
      <w:r>
        <w:rPr>
          <w:rFonts w:ascii="Times New Roman" w:hAnsi="Times New Roman"/>
          <w:b w:val="false"/>
          <w:i w:val="false"/>
          <w:color w:val="000000"/>
          <w:sz w:val="22"/>
        </w:rPr>
        <w:t>If title of a closed sanitary disposal project is transferred, any future waste exhumation activities, excluding repairs or maintenance activities, are considered to be operation of the landfill due to the similar environmental effects possible from the two activities due to waste exposure.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