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567—101.106</w:t>
      </w:r>
      <w:r>
        <w:rPr>
          <w:rFonts w:ascii="Times New Roman" w:hAnsi="Times New Roman"/>
          <w:b/>
          <w:i w:val="false"/>
          <w:color w:val="000000"/>
          <w:sz w:val="22"/>
        </w:rPr>
        <w:t xml:space="preserve">(455B) </w:t>
      </w:r>
      <w:r>
        <w:rPr>
          <w:rFonts w:ascii="Times New Roman" w:hAnsi="Times New Roman"/>
          <w:b/>
          <w:i w:val="false"/>
          <w:color w:val="000000"/>
          <w:sz w:val="22"/>
        </w:rPr>
        <w:t xml:space="preserve">Siting and location requirements. </w:t>
      </w:r>
      <w:r>
        <w:rPr>
          <w:rFonts w:ascii="Times New Roman" w:hAnsi="Times New Roman"/>
          <w:b w:val="false"/>
          <w:i w:val="false"/>
          <w:color w:val="000000"/>
          <w:sz w:val="22"/>
        </w:rPr>
        <w:t xml:space="preserve">This rule applies to new MSWLF units and horizontal expansions of existing MSWLF units. Except for </w:t>
      </w:r>
      <w:hyperlink r:id="rId4">
        <w:r>
          <w:rPr>
            <w:rStyle w:val="Hyperlink"/>
            <w:rFonts w:ascii="Times New Roman" w:hAnsi="Times New Roman"/>
            <w:b w:val="false"/>
            <w:i w:val="false"/>
            <w:color w:val="000000"/>
            <w:sz w:val="22"/>
          </w:rPr>
          <w:t>101.106(2)</w:t>
        </w:r>
      </w:hyperlink>
      <w:r>
        <w:rPr>
          <w:rFonts w:ascii="Times New Roman" w:hAnsi="Times New Roman"/>
          <w:b w:val="false"/>
          <w:i w:val="false"/>
          <w:color w:val="000000"/>
          <w:sz w:val="22"/>
        </w:rPr>
        <w:t xml:space="preserve">, this rule does not apply to permitted MSWLF units that have been approved prior to October 1, 2007. Information required to document compliance with </w:t>
      </w:r>
      <w:hyperlink r:id="rId5">
        <w:r>
          <w:rPr>
            <w:rStyle w:val="Hyperlink"/>
            <w:rFonts w:ascii="Times New Roman" w:hAnsi="Times New Roman"/>
            <w:b w:val="false"/>
            <w:i w:val="false"/>
            <w:color w:val="000000"/>
            <w:sz w:val="22"/>
          </w:rPr>
          <w:t>567—101.106</w:t>
        </w:r>
      </w:hyperlink>
      <w:r>
        <w:rPr>
          <w:rFonts w:ascii="Times New Roman" w:hAnsi="Times New Roman"/>
          <w:b w:val="false"/>
          <w:i w:val="false"/>
          <w:color w:val="000000"/>
          <w:sz w:val="22"/>
        </w:rPr>
        <w:t xml:space="preserve">(455B) shall be consolidated and maintained in a site exploration and characterization report pursuant to </w:t>
      </w:r>
      <w:hyperlink r:id="rId6">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101.106(1)</w:t>
      </w:r>
      <w:r>
        <w:rPr>
          <w:rFonts w:ascii="Times New Roman" w:hAnsi="Times New Roman"/>
          <w:b w:val="false"/>
          <w:i w:val="false"/>
          <w:color w:val="000000"/>
          <w:sz w:val="22"/>
        </w:rPr>
        <w:t> </w:t>
      </w:r>
      <w:r>
        <w:rPr>
          <w:rFonts w:ascii="Times New Roman" w:hAnsi="Times New Roman"/>
          <w:b w:val="false"/>
          <w:i/>
          <w:color w:val="000000"/>
          <w:sz w:val="22"/>
        </w:rPr>
        <w:t xml:space="preserve">Location restrictions. </w:t>
      </w:r>
      <w:r>
        <w:rPr>
          <w:rFonts w:ascii="Times New Roman" w:hAnsi="Times New Roman"/>
          <w:b w:val="false"/>
          <w:i w:val="false"/>
          <w:color w:val="000000"/>
          <w:sz w:val="22"/>
        </w:rPr>
        <w:t>MSWLFs shall comply with the following location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new MSWLF shall be constructed or established within six miles of a smaller public airport unless approved or authorized by the Federal Aviation Administration (FAA).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new MSWLF units, existing MSWLF units, and lateral expansions that are located within 10,000 feet (3,048 meters) of any airport runway end used by turbojet aircraft or within 5,000 feet (1,524 meters) of any airport runway end used by piston-type aircraft only must demonstrate to the FAA and obtain its approval that the units are designed and operated so that the MSWLF unit does not pose a bird hazard to aircraft. The owner or operator must place the demonstration of this requirement in the operating record and submit to the department a copy of the demonstration approved by the FAA.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Owners or operators proposing to site new MSWLF units or lateral expansions within a five-mile radius of any airport runway end used by turbojet or piston-type aircraft must notify the affected airport and the FAA. A copy of these notifications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Wetlands. </w:t>
      </w:r>
      <w:r>
        <w:rPr>
          <w:rFonts w:ascii="Times New Roman" w:hAnsi="Times New Roman"/>
          <w:b w:val="false"/>
          <w:i w:val="false"/>
          <w:color w:val="000000"/>
          <w:sz w:val="22"/>
        </w:rPr>
        <w:t xml:space="preserve">New MSWLF units and lateral expansions shall not be located in wetlands unless the owner or operator can make the demonstrations in </w:t>
      </w:r>
      <w:r>
        <w:rPr>
          <w:rFonts w:ascii="Times New Roman" w:hAnsi="Times New Roman"/>
          <w:b w:val="false"/>
          <w:i w:val="false"/>
          <w:color w:val="000000"/>
          <w:sz w:val="22"/>
        </w:rPr>
        <w:t>40 CFR 258.12</w:t>
      </w:r>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Fault areas. </w:t>
      </w:r>
      <w:r>
        <w:rPr>
          <w:rFonts w:ascii="Times New Roman" w:hAnsi="Times New Roman"/>
          <w:b w:val="false"/>
          <w:i w:val="false"/>
          <w:color w:val="000000"/>
          <w:sz w:val="22"/>
        </w:rPr>
        <w:t>New MSWLF units or lateral expansions shall not be located within 200 feet (60 meters) of a fault that has had displacement in Holocene time unless the owner or operator demonstrates to the department that an alternative setback distance of less than 200 feet (60 meters) will prevent damage to the structural integrity of the MSWLF unit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Seismic impact zones. </w:t>
      </w:r>
      <w:r>
        <w:rPr>
          <w:rFonts w:ascii="Times New Roman" w:hAnsi="Times New Roman"/>
          <w:b w:val="false"/>
          <w:i w:val="false"/>
          <w:color w:val="000000"/>
          <w:sz w:val="22"/>
        </w:rPr>
        <w:t>New MSWLF units and lateral expansions shall not be located in seismic impact zones unless the owner or operator demonstrates to the department that all containment structures, including liners, leachate collection systems, and surface water control systems, are designed to resist the maximum horizontal acceleration in lithified earth material for the site. The owner or operator must place the demonstration in the operating record and submit a copy of the demonstration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Unstable areas. </w:t>
      </w:r>
      <w:r>
        <w:rPr>
          <w:rFonts w:ascii="Times New Roman" w:hAnsi="Times New Roman"/>
          <w:b w:val="false"/>
          <w:i w:val="false"/>
          <w:color w:val="000000"/>
          <w:sz w:val="22"/>
        </w:rPr>
        <w:t>Owners or operators of new MSWLF units, existing MSWLF units, or lateral expansions located in an unstable area must demonstrate to the department that engineering measures have been incorporated into the MSWLF unit’s design to ensure that the integrity of the structural components of the MSWLF unit will not be disrupted. The owner or operator must place the demonstration in the operating record and submit a copy of the demonstration to the department. The owner or operator must consider the following factors, at a minimum, when determining whether an area is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On-site or local soil conditions that may result in significant differential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On-site or local geologic or geomorphologic features;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On-site or local human-made features or human-induced events (both surface and subsurface).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Property line setback. </w:t>
      </w:r>
      <w:r>
        <w:rPr>
          <w:rFonts w:ascii="Times New Roman" w:hAnsi="Times New Roman"/>
          <w:b w:val="false"/>
          <w:i w:val="false"/>
          <w:color w:val="000000"/>
          <w:sz w:val="22"/>
        </w:rPr>
        <w:t>An MSWLF unit shall be at least 50 feet from an adjacent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Housing and sensitive populations. </w:t>
      </w:r>
      <w:r>
        <w:rPr>
          <w:rFonts w:ascii="Times New Roman" w:hAnsi="Times New Roman"/>
          <w:b w:val="false"/>
          <w:i w:val="false"/>
          <w:color w:val="000000"/>
          <w:sz w:val="22"/>
        </w:rPr>
        <w:t>An MSWLF unit shall not be within 500 feet of an occupied residence, recreational area, child care facility, educational facility, or health care facility in existence at the time of receipt of the original permit application or application to laterally expand the permitted MSWLF unit unless there is a written agreement between the MSWLF owner and such facility. The written agreement shall be filed with the county recorder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101.106(2)</w:t>
      </w:r>
      <w:r>
        <w:rPr>
          <w:rFonts w:ascii="Times New Roman" w:hAnsi="Times New Roman"/>
          <w:b w:val="false"/>
          <w:i w:val="false"/>
          <w:color w:val="000000"/>
          <w:sz w:val="22"/>
        </w:rPr>
        <w:t> </w:t>
      </w:r>
      <w:r>
        <w:rPr>
          <w:rFonts w:ascii="Times New Roman" w:hAnsi="Times New Roman"/>
          <w:b w:val="false"/>
          <w:i/>
          <w:color w:val="000000"/>
          <w:sz w:val="22"/>
        </w:rPr>
        <w:t xml:space="preserve">Soil and hydrogeologic investigations. </w:t>
      </w:r>
      <w:r>
        <w:rPr>
          <w:rFonts w:ascii="Times New Roman" w:hAnsi="Times New Roman"/>
          <w:b w:val="false"/>
          <w:i w:val="false"/>
          <w:color w:val="000000"/>
          <w:sz w:val="22"/>
        </w:rPr>
        <w:t xml:space="preserve">An MSWLF shall have a qualified groundwater scientist, as defined in </w:t>
      </w:r>
      <w:hyperlink r:id="rId7">
        <w:r>
          <w:rPr>
            <w:rStyle w:val="Hyperlink"/>
            <w:rFonts w:ascii="Times New Roman" w:hAnsi="Times New Roman"/>
            <w:b w:val="false"/>
            <w:i w:val="false"/>
            <w:color w:val="000000"/>
            <w:sz w:val="22"/>
          </w:rPr>
          <w:t>567—101.3</w:t>
        </w:r>
      </w:hyperlink>
      <w:r>
        <w:rPr>
          <w:rFonts w:ascii="Times New Roman" w:hAnsi="Times New Roman"/>
          <w:b w:val="false"/>
          <w:i w:val="false"/>
          <w:color w:val="000000"/>
          <w:sz w:val="22"/>
        </w:rPr>
        <w:t>(455B), conduct a soil and hydrogeologic investigation in accordance with this subrule. The purpose of this investigation is to obtain data to determine potential routes of contaminant migration via groundwater. Such information is vital for completion of the site exploration and characterization report and the hydrologic monitoring system plan and design. This subrule sets forth the minimum requirements for soil and hydrogeologic investigations. An MSWLF shall comply with this subrule unless the department issues written approval due to specific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borings shall be made to accurately identify the stratigraphic and hydrogeologic conditions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Unless otherwise approved by the department in writing, the following requirements shall apply to the depth of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borings shall be a minimum of 25 feet deep and at least 10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half of all borings shall extend 20 feet into the uppermost aquifer, 50 feet below the water table, or 10 feet into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a minimum,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borings shall be of sufficient depth to correlate strata between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and soil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 samples shall be collected for all borings unless otherwise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Boring logs shall be as detailed as possible in describing each stratum.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Samples shall be clearly marked, preserved, and transported in accordance with laboratory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permit applicant shall keep and preserve samples until at least 30 days after the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Soil samples from each stratum shall be tested for falling-head hydraulic conductivity and grain size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Conversion of or plugging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Borings may be converted to piezometers or monitoring wells. However, the conversion of such borings does not guarantee that more piezometers or monitoring wells will not be required in the department-approved hydrologic monitoring system plan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Borings not converted to piezometers or monitoring wells shall be plugged and properly sealed so as not to create pathways for subsurface or surface pollution migration. Borings converted to piezometers or monitoring wells may still need to be partially plugged depending on the depth of the boring. Plugging shall be performed pursuant to </w:t>
      </w:r>
      <w:hyperlink r:id="rId8">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and hydrogeologic investigation description and analysis. </w:t>
      </w:r>
      <w:r>
        <w:rPr>
          <w:rFonts w:ascii="Times New Roman" w:hAnsi="Times New Roman"/>
          <w:b w:val="false"/>
          <w:i w:val="false"/>
          <w:color w:val="000000"/>
          <w:sz w:val="22"/>
        </w:rPr>
        <w:t>A soil and hydrogeologic investigation description and analysis shall be completed and maintained and, at a minimum,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boring logs pursuant to </w:t>
      </w:r>
      <w:hyperlink r:id="rId9">
        <w:r>
          <w:rPr>
            <w:rStyle w:val="Hyperlink"/>
            <w:rFonts w:ascii="Times New Roman" w:hAnsi="Times New Roman"/>
            <w:b w:val="false"/>
            <w:i w:val="false"/>
            <w:color w:val="000000"/>
            <w:sz w:val="22"/>
          </w:rPr>
          <w:t>101.106(3)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properties of each soil and bedrock stratum as appropriate,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texture and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Particle size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Mineral composition, cementation, and soil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Permeability, including horizontal and vertical permeability, and porosity.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Geologic structure, including strike, dip, folding, faulting, and jointing.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Previous activities and infrastructure at the site that could affect geology and hydrogeology, such as but not limited to mining, quarry operations, borrow pits, waste disposal, storage tanks, pipelines, utilities, and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Lenses and other discontinuous units, voids, solution openings, layering, fractures, other heterogeneity, and the scale or frequency of the heterogeneity.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Correlation and continuity of strata between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Descriptions of the hydrogeologic units within the saturated zone,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properties, including as appropriate conductivity, transmissivity, storativity, and effective porosity.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Concentrations of chemical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 present in the groundwater of hydrogeologic units and the source of those constituents,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Role and effect of each hydrogeologic unit as an aquifer, aquitard, or perched 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actual or potential use of the aquifers as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view maps, and a series of cross sections with two oriented perpendicular and two oriented parallel to the predominant directions of groundwater flow through the MSWLF unit,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of soil and bedrock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position of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of the uppermost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Measured values of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Equipotential lines and inferred groundwater streamlines of the water table, and the uppermost aquifer if different from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Location of soil and bedrock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 of piezometers and monitoring points,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and evaluation of horizontal and vertical groundwater flow that specifically addresses the following and their significance to the movement of pollutants carried by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intermediate, and regional groundwater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recharge and discharge areas within and immediately surrounding the facility, including interactions with perennial and intermittent surface waters and how the facility affects recharge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Existing and proposed groundwater and surface water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effects of heterogeneity, fractures, or directional differences in permeability on groundwater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Directions of groundwater movement, including vertical components of flow, specific discharge rates, and average linear velocities within the hydrologic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Seasonal or other temporal fluctuations in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 of existing and proposed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analysis of potential impacts on groundwater and surface water quality, and water users, in the event of a theoretical release at the most downgradient portion of each MSWLF unit. The analysis shall at a minimum utilize contaminants and indicator parameters with high mobility in groundwater. This analysis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Assumptions and approximations utilized and why they were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model is utilized, a thorough description of models used and each model’s capabilities and limitations, including the reliability and accuracy of the models in actual field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Projected paths and rates of movement of contaminants found in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location of the proposed MSWLF unit and conceptual design based on hydrogeologic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101.106(3)</w:t>
      </w:r>
      <w:r>
        <w:rPr>
          <w:rFonts w:ascii="Times New Roman" w:hAnsi="Times New Roman"/>
          <w:b w:val="false"/>
          <w:i w:val="false"/>
          <w:color w:val="000000"/>
          <w:sz w:val="22"/>
        </w:rPr>
        <w:t> </w:t>
      </w:r>
      <w:r>
        <w:rPr>
          <w:rFonts w:ascii="Times New Roman" w:hAnsi="Times New Roman"/>
          <w:b w:val="false"/>
          <w:i/>
          <w:color w:val="000000"/>
          <w:sz w:val="22"/>
        </w:rPr>
        <w:t xml:space="preserve">Site exploration and characterization report. </w:t>
      </w:r>
      <w:r>
        <w:rPr>
          <w:rFonts w:ascii="Times New Roman" w:hAnsi="Times New Roman"/>
          <w:b w:val="false"/>
          <w:i w:val="false"/>
          <w:color w:val="000000"/>
          <w:sz w:val="22"/>
        </w:rPr>
        <w:t>An MSWLF shall develop and submit to the department for review a site exploration and characterization report. At a minimum, the site exploration and characterization report shall detail compliance with the requirements of this rule and contain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page and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and legal entitlement to use the site as an MSWLF. If the applicant does not own the site, then proof of legal entitlement to the site must be submitted. Such legal entitlement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Provisions that allow continued disposal operations until closure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Provisions for the performance of facility closure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Provisions for post-closure care for at least a 30-year period after facility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the applicant’s local siting approval pursuant to Iowa Code section </w:t>
      </w:r>
      <w:hyperlink r:id="rId10">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Scaled maps or aerial photographs locating the boundaries of the facility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lines and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facility, including load limits or other restrictions on those 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Topography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Applicable setback distances and location requirements pursuant to this rule,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Airports within six miles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Floodplains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Wetlands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Fault areas within 200 feet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Seismic impact zones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Unstable areas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Water wells within 1,000 feet of upgradient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water wells within one mile of upgradient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Boundaries of the existing, new, and planned MSWLF units and the facility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Housing and sensitive populations within 500 feet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bird-aircraft hazard demonstration pursuant to </w:t>
      </w:r>
      <w:hyperlink r:id="rId11">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floodplain demonstration pursuant to </w:t>
      </w:r>
      <w:hyperlink r:id="rId12">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wetlands demonstration pursuant to </w:t>
      </w:r>
      <w:hyperlink r:id="rId13">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fault area demonstration pursuant to </w:t>
      </w:r>
      <w:hyperlink r:id="rId14">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seismic impact zone demonstration pursuant to </w:t>
      </w:r>
      <w:hyperlink r:id="rId15">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“e,”</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unstable area demonstration pursuant to </w:t>
      </w:r>
      <w:hyperlink r:id="rId16">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“f,”</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written agreements with surrounding property owners pursuant to </w:t>
      </w:r>
      <w:hyperlink r:id="rId17">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“l,”</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and hydrogeologic investigation description and analysis pursuant to </w:t>
      </w:r>
      <w:hyperlink r:id="rId18">
        <w:r>
          <w:rPr>
            <w:rStyle w:val="Hyperlink"/>
            <w:rFonts w:ascii="Times New Roman" w:hAnsi="Times New Roman"/>
            <w:b w:val="false"/>
            <w:i w:val="false"/>
            <w:color w:val="000000"/>
            <w:sz w:val="22"/>
          </w:rPr>
          <w:t>101.106(3)</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06.pdf" Type="http://schemas.openxmlformats.org/officeDocument/2006/relationships/hyperlink" Id="rId4"/>
    <Relationship TargetMode="External" Target="https://www.legis.iowa.gov/docs/iac/rule/567.101.106.pdf" Type="http://schemas.openxmlformats.org/officeDocument/2006/relationships/hyperlink" Id="rId5"/>
    <Relationship TargetMode="External" Target="https://www.legis.iowa.gov/docs/iac/rule/567.101.106.pdf" Type="http://schemas.openxmlformats.org/officeDocument/2006/relationships/hyperlink" Id="rId6"/>
    <Relationship TargetMode="External" Target="https://www.legis.iowa.gov/docs/iac/rule/567.101.3.pdf" Type="http://schemas.openxmlformats.org/officeDocument/2006/relationships/hyperlink" Id="rId7"/>
    <Relationship TargetMode="External" Target="https://www.legis.iowa.gov/docs/iac/rule/567.101.110.pdf" Type="http://schemas.openxmlformats.org/officeDocument/2006/relationships/hyperlink" Id="rId8"/>
    <Relationship TargetMode="External" Target="https://www.legis.iowa.gov/docs/iac/rule/567.101.106.pdf" Type="http://schemas.openxmlformats.org/officeDocument/2006/relationships/hyperlink" Id="rId9"/>
    <Relationship TargetMode="External" Target="https://www.legis.iowa.gov/docs/ico/chapter/455B.305A.pdf" Type="http://schemas.openxmlformats.org/officeDocument/2006/relationships/hyperlink" Id="rId10"/>
    <Relationship TargetMode="External" Target="https://www.legis.iowa.gov/docs/iac/rule/567.101.106.pdf" Type="http://schemas.openxmlformats.org/officeDocument/2006/relationships/hyperlink" Id="rId11"/>
    <Relationship TargetMode="External" Target="https://www.legis.iowa.gov/docs/iac/rule/567.101.106.pdf" Type="http://schemas.openxmlformats.org/officeDocument/2006/relationships/hyperlink" Id="rId12"/>
    <Relationship TargetMode="External" Target="https://www.legis.iowa.gov/docs/iac/rule/567.101.106.pdf" Type="http://schemas.openxmlformats.org/officeDocument/2006/relationships/hyperlink" Id="rId13"/>
    <Relationship TargetMode="External" Target="https://www.legis.iowa.gov/docs/iac/rule/567.101.106.pdf" Type="http://schemas.openxmlformats.org/officeDocument/2006/relationships/hyperlink" Id="rId14"/>
    <Relationship TargetMode="External" Target="https://www.legis.iowa.gov/docs/iac/rule/567.101.106.pdf" Type="http://schemas.openxmlformats.org/officeDocument/2006/relationships/hyperlink" Id="rId15"/>
    <Relationship TargetMode="External" Target="https://www.legis.iowa.gov/docs/iac/rule/567.101.106.pdf" Type="http://schemas.openxmlformats.org/officeDocument/2006/relationships/hyperlink" Id="rId16"/>
    <Relationship TargetMode="External" Target="https://www.legis.iowa.gov/docs/iac/rule/567.101.106.pdf" Type="http://schemas.openxmlformats.org/officeDocument/2006/relationships/hyperlink" Id="rId17"/>
    <Relationship TargetMode="External" Target="https://www.legis.iowa.gov/docs/iac/rule/567.101.10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