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567—101.104</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101.104(1)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For purposes of this division, the permit requirements in </w:t>
      </w:r>
      <w:hyperlink r:id="rId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Division I of this chapter, and this rule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101.104(2)</w:t>
      </w:r>
      <w:r>
        <w:rPr>
          <w:rFonts w:ascii="Times New Roman" w:hAnsi="Times New Roman"/>
          <w:b w:val="false"/>
          <w:i w:val="false"/>
          <w:color w:val="000000"/>
          <w:sz w:val="22"/>
        </w:rPr>
        <w:t> </w:t>
      </w:r>
      <w:r>
        <w:rPr>
          <w:rFonts w:ascii="Times New Roman" w:hAnsi="Times New Roman"/>
          <w:b w:val="false"/>
          <w:i/>
          <w:color w:val="000000"/>
          <w:sz w:val="22"/>
        </w:rPr>
        <w:t xml:space="preserve">Research, development, and demonstration (RD&amp;D) permits. </w:t>
      </w:r>
      <w:r>
        <w:rPr>
          <w:rFonts w:ascii="Times New Roman" w:hAnsi="Times New Roman"/>
          <w:b w:val="false"/>
          <w:i w:val="false"/>
          <w:color w:val="000000"/>
          <w:sz w:val="22"/>
        </w:rPr>
        <w:t xml:space="preserve">The director or the director’s designee may issue an RD&amp;D permit that overrides the applicable portions of this division pursuant to </w:t>
      </w:r>
      <w:r>
        <w:rPr>
          <w:rFonts w:ascii="Times New Roman" w:hAnsi="Times New Roman"/>
          <w:b w:val="false"/>
          <w:i w:val="false"/>
          <w:color w:val="000000"/>
          <w:sz w:val="22"/>
        </w:rPr>
        <w:t>40 CFR 258.4</w:t>
      </w:r>
      <w:r>
        <w:rPr>
          <w:rFonts w:ascii="Times New Roman" w:hAnsi="Times New Roman"/>
          <w:b w:val="false"/>
          <w:i w:val="false"/>
          <w:color w:val="000000"/>
          <w:sz w:val="22"/>
        </w:rPr>
        <w:t xml:space="preserve"> without issuing a waiver pursuant to </w:t>
      </w:r>
      <w:hyperlink r:id="rId5">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A permit amendment from the department for leachate recirculation only does not require an RD&amp;D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101.104(3)</w:t>
      </w:r>
      <w:r>
        <w:rPr>
          <w:rFonts w:ascii="Times New Roman" w:hAnsi="Times New Roman"/>
          <w:b w:val="false"/>
          <w:i w:val="false"/>
          <w:color w:val="000000"/>
          <w:sz w:val="22"/>
        </w:rPr>
        <w:t> </w:t>
      </w:r>
      <w:r>
        <w:rPr>
          <w:rFonts w:ascii="Times New Roman" w:hAnsi="Times New Roman"/>
          <w:b w:val="false"/>
          <w:i/>
          <w:color w:val="000000"/>
          <w:sz w:val="22"/>
        </w:rPr>
        <w:t xml:space="preserve">Notice and public participation in the MSWLF permit issuance and post-permit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“post-permit actions” includes permit renewals and requests for the following facility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 in an MSWLF facility boundary or an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an RD&amp;D permit pursuant to </w:t>
      </w:r>
      <w:hyperlink r:id="rId6">
        <w:r>
          <w:rPr>
            <w:rStyle w:val="Hyperlink"/>
            <w:rFonts w:ascii="Times New Roman" w:hAnsi="Times New Roman"/>
            <w:b w:val="false"/>
            <w:i w:val="false"/>
            <w:color w:val="000000"/>
            <w:sz w:val="22"/>
          </w:rPr>
          <w:t>101.104(2)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Installation of a landfill gas collection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Application for a closure permit for an MSWLF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Transfer of an MSWLF permit to a new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from this division under </w:t>
      </w:r>
      <w:hyperlink r:id="rId7">
        <w:r>
          <w:rPr>
            <w:rStyle w:val="Hyperlink"/>
            <w:rFonts w:ascii="Times New Roman" w:hAnsi="Times New Roman"/>
            <w:b w:val="false"/>
            <w:i w:val="false"/>
            <w:color w:val="000000"/>
            <w:sz w:val="22"/>
          </w:rPr>
          <w:t>567—101.115</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Change in the post-permit land use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significant permit actions that are determined by the department to require public notice and participation. Such actions may include requests to change any of the requirements set forth as special provisions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approval or denial for an MSWLF permit or post-permit action, public notice shall be circulated in a manner designed to inform interested and potentially interested persons of the permit or post-permit action request. Procedures for the circulation of public notice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the permit application or post-permit action request, the department shall determine whether public notice is required in accordance with this subrule. If public notice is required, then the department shall prepare the public notice that shall be circulated by the owner or operator within the service area of the MSWLF by posting the public notice near the entrance to the MSWLF; and by publishing the public notice in periodicals or, if appropriate, in a newspaper(s) of general circulation.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public notice shall be posted on the department’s webpage.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a period of not less than 30 days following the date of the public notice during which time interested persons may submit their written views with respect to the MWSLF permit application or post-permit action request. All written comments submitted during the 30-day comment period shall be retained by the department and considered by the department in the formulation of the department’s final determinations. The period for comment may be extended at the sole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contents of the public notice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each applicant’s activities or operations that result in the submittal of the permit application or post-permit action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any person may submit written and signed comments or may request a public hearing, or both, on the proposed permit or post-permit action request. A statement of procedures to request a public hearing pursuant to </w:t>
      </w:r>
      <w:hyperlink r:id="rId8">
        <w:r>
          <w:rPr>
            <w:rStyle w:val="Hyperlink"/>
            <w:rFonts w:ascii="Times New Roman" w:hAnsi="Times New Roman"/>
            <w:b w:val="false"/>
            <w:i w:val="false"/>
            <w:color w:val="000000"/>
            <w:sz w:val="22"/>
          </w:rPr>
          <w:t>101.104(3)</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Locations where copies of the permit application or post-permit action request may be reviewed and the times at which the copies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interested agency, person, or group of persons may request or petition for a public hearing with respect to an MSWLF permit application or post-permit action request. Any such request shall clearly state issues and topics to be addressed at the hearing. Any such request or petition for public hearing must be filed with the department within the 30-day period prescribed in </w:t>
      </w:r>
      <w:hyperlink r:id="rId9">
        <w:r>
          <w:rPr>
            <w:rStyle w:val="Hyperlink"/>
            <w:rFonts w:ascii="Times New Roman" w:hAnsi="Times New Roman"/>
            <w:b w:val="false"/>
            <w:i w:val="false"/>
            <w:color w:val="000000"/>
            <w:sz w:val="22"/>
          </w:rPr>
          <w:t>101.104(3)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shall indicate the interest of the party filing such request and the reasons why a hearing is warranted. The department shall hold an informal and noncontested case hearing if there is a significant public interest (including the filing of requests or petitions for such hearing) in holding such a hearing. Frivolous or insubstantial requests for hearing may be denied by the department. Instances of doubt should be resolved in favor of holding the hearing. Any hearing requested pursuant to this subrule shall be held in the service area of the MSWLF or other appropriate area at the sole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public hearing is warranted, then the department shall prepare the public notice of the hearing. Public notice of any hearing held shall be circulated at least as widely as was the notice of the permit application or post-permit action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contents of public notice of any hearing held pursuant to </w:t>
      </w:r>
      <w:hyperlink r:id="rId10">
        <w:r>
          <w:rPr>
            <w:rStyle w:val="Hyperlink"/>
            <w:rFonts w:ascii="Times New Roman" w:hAnsi="Times New Roman"/>
            <w:b w:val="false"/>
            <w:i w:val="false"/>
            <w:color w:val="000000"/>
            <w:sz w:val="22"/>
          </w:rPr>
          <w:t>101.104(3)</w:t>
        </w:r>
        <w:r>
          <w:rPr>
            <w:rFonts w:ascii="Times New Roman" w:hAnsi="Times New Roman"/>
            <w:b w:val="false"/>
            <w:i/>
            <w:color w:val="000000"/>
            <w:sz w:val="22"/>
          </w:rPr>
          <w:t>“e”</w:t>
        </w:r>
      </w:hyperlink>
      <w:r>
        <w:rPr>
          <w:rFonts w:ascii="Times New Roman" w:hAnsi="Times New Roman"/>
          <w:b w:val="false"/>
          <w:i w:val="false"/>
          <w:color w:val="000000"/>
          <w:sz w:val="22"/>
        </w:rPr>
        <w:t xml:space="preserve">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applicant whose application will be considered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reference to the public notice issued for each permit application and post-permit action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time and location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purpose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issues raised by the person requesting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Locations where copies of the permit application or post-permit action may be reviewed, including the closest department field office, and the times at which the copies shall be available for public inspection;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nature of the hearing, including the rules and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shall keep a record of the commenters and of the issues raised during the public participation process and shall prepare written responses to all comments received. At the time a final decision is made, the record and copies of the department’s responses shall be made available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0.pdf" Type="http://schemas.openxmlformats.org/officeDocument/2006/relationships/hyperlink" Id="rId4"/>
    <Relationship TargetMode="External" Target="https://www.legis.iowa.gov/docs/iac/chapter/7.2504.pdf" Type="http://schemas.openxmlformats.org/officeDocument/2006/relationships/hyperlink" Id="rId5"/>
    <Relationship TargetMode="External" Target="https://www.legis.iowa.gov/docs/iac/rule/567.101.104.pdf" Type="http://schemas.openxmlformats.org/officeDocument/2006/relationships/hyperlink" Id="rId6"/>
    <Relationship TargetMode="External" Target="https://www.legis.iowa.gov/docs/iac/rule/567.101.115.pdf" Type="http://schemas.openxmlformats.org/officeDocument/2006/relationships/hyperlink" Id="rId7"/>
    <Relationship TargetMode="External" Target="https://www.legis.iowa.gov/docs/iac/rule/567.101.104.pdf" Type="http://schemas.openxmlformats.org/officeDocument/2006/relationships/hyperlink" Id="rId8"/>
    <Relationship TargetMode="External" Target="https://www.legis.iowa.gov/docs/iac/rule/567.101.104.pdf" Type="http://schemas.openxmlformats.org/officeDocument/2006/relationships/hyperlink" Id="rId9"/>
    <Relationship TargetMode="External" Target="https://www.legis.iowa.gov/docs/iac/rule/567.101.10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