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municipal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an MSWLF shall not be constructed or operated without first obtaining a permit from the department pursuant to this division, the requirements set forth in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an MSWLF pursuant to this division in no way relieves the applicant of the responsibility of complying with all other local, state, or federal statutes; ordinances; and rules or other requirements applicable to the construction and operation of an MSWLF.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101.102(4)</w:t>
      </w:r>
      <w:r>
        <w:rPr>
          <w:rFonts w:ascii="Times New Roman" w:hAnsi="Times New Roman"/>
          <w:b w:val="false"/>
          <w:i w:val="false"/>
          <w:color w:val="000000"/>
          <w:sz w:val="22"/>
        </w:rPr>
        <w:t> </w:t>
      </w:r>
      <w:r>
        <w:rPr>
          <w:rFonts w:ascii="Times New Roman" w:hAnsi="Times New Roman"/>
          <w:b w:val="false"/>
          <w:i w:val="false"/>
          <w:color w:val="000000"/>
          <w:sz w:val="22"/>
        </w:rPr>
        <w:t>Sanitary landfills accepting municipal solid waste must comply with the provisions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101.102(5)</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management and disposal of special wastes. Division VI of this chapter contains rules pertaining to the management and disposal of special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101.102(6)</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MSWLF units that did not receive waste after October 9, 1994. The closure permit issued or the rules in effect at the time of closure shall govern post-closure activities for such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101.102(7)</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MSWLF units that ceased receiving waste before October 1, 2007, and are not contiguous with MSWLF units that continued to accept waste after October 1, 2007. For the purpose of this subrule, contiguous MSWLF units are those that adjoin, abut, or have a common boundary or edge with one another or that utilize the same groundwater monitoring network system. The permit issued and the rules in effect at the time waste acceptance ceased shall govern post-permit activities for such MSWLF units,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6">
        <w:r>
          <w:rPr>
            <w:rStyle w:val="Hyperlink"/>
            <w:rFonts w:ascii="Times New Roman" w:hAnsi="Times New Roman"/>
            <w:b w:val="false"/>
            <w:i w:val="false"/>
            <w:color w:val="000000"/>
            <w:sz w:val="22"/>
          </w:rPr>
          <w:t>567—101.114</w:t>
        </w:r>
      </w:hyperlink>
      <w:r>
        <w:rPr>
          <w:rFonts w:ascii="Times New Roman" w:hAnsi="Times New Roman"/>
          <w:b w:val="false"/>
          <w:i w:val="false"/>
          <w:color w:val="000000"/>
          <w:sz w:val="22"/>
        </w:rPr>
        <w:t>(455B)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sampling in accordance with </w:t>
      </w:r>
      <w:hyperlink r:id="rId7">
        <w:r>
          <w:rPr>
            <w:rStyle w:val="Hyperlink"/>
            <w:rFonts w:ascii="Times New Roman" w:hAnsi="Times New Roman"/>
            <w:b w:val="false"/>
            <w:i w:val="false"/>
            <w:color w:val="000000"/>
            <w:sz w:val="22"/>
          </w:rPr>
          <w:t>101.110(3)</w:t>
        </w:r>
      </w:hyperlink>
      <w:r>
        <w:rPr>
          <w:rFonts w:ascii="Times New Roman" w:hAnsi="Times New Roman"/>
          <w:b w:val="false"/>
          <w:i w:val="false"/>
          <w:color w:val="000000"/>
          <w:sz w:val="22"/>
        </w:rPr>
        <w:t xml:space="preserv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MSWLF units shall perform groundwater sampling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semiannual water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annual water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analytical results for a downgradient groundwater monitoring point do not fall within the control limits of two standard deviations above (or below, for pH) the mean parameters, listed in </w:t>
      </w:r>
      <w:hyperlink r:id="rId8">
        <w:r>
          <w:rPr>
            <w:rStyle w:val="Hyperlink"/>
            <w:rFonts w:ascii="Times New Roman" w:hAnsi="Times New Roman"/>
            <w:b w:val="false"/>
            <w:i w:val="false"/>
            <w:color w:val="000000"/>
            <w:sz w:val="22"/>
          </w:rPr>
          <w:t>101.102(7)</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r>
        <w:rPr>
          <w:rFonts w:ascii="Times New Roman" w:hAnsi="Times New Roman"/>
          <w:b w:val="false"/>
          <w:i/>
          <w:color w:val="000000"/>
          <w:sz w:val="22"/>
        </w:rPr>
        <w:t>“d”</w:t>
      </w:r>
      <w:r>
        <w:rPr>
          <w:rFonts w:ascii="Times New Roman" w:hAnsi="Times New Roman"/>
          <w:b w:val="false"/>
          <w:i w:val="false"/>
          <w:color w:val="000000"/>
          <w:sz w:val="22"/>
        </w:rPr>
        <w:t xml:space="preserve">(2), in a corresponding upgradient groundwater monitoring point and it cannot be demonstrated that a source other than an MSWLF unit caused the control limit exceedance, then the owner or operator shall comply with the groundwater assessment monitoring program requirements in </w:t>
      </w:r>
      <w:hyperlink r:id="rId9">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and corrective action requirements in </w:t>
      </w:r>
      <w:hyperlink r:id="rId10">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101.110(9)</w:t>
        </w:r>
      </w:hyperlink>
      <w:r>
        <w:rPr>
          <w:rFonts w:ascii="Times New Roman" w:hAnsi="Times New Roman"/>
          <w:b w:val="false"/>
          <w:i w:val="false"/>
          <w:color w:val="000000"/>
          <w:sz w:val="22"/>
        </w:rPr>
        <w:t>,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101.102(8)</w:t>
      </w:r>
      <w:r>
        <w:rPr>
          <w:rFonts w:ascii="Times New Roman" w:hAnsi="Times New Roman"/>
          <w:b w:val="false"/>
          <w:i w:val="false"/>
          <w:color w:val="000000"/>
          <w:sz w:val="22"/>
        </w:rPr>
        <w:t> </w:t>
      </w:r>
      <w:r>
        <w:rPr>
          <w:rFonts w:ascii="Times New Roman" w:hAnsi="Times New Roman"/>
          <w:b w:val="false"/>
          <w:i w:val="false"/>
          <w:color w:val="000000"/>
          <w:sz w:val="22"/>
        </w:rPr>
        <w:t>Compliance with amendments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existing MSWLF units that have an approved leachate collection system and a composite liner, or a leachate collection system and an alternative liner modeled at an approved point of compliance, shall not be required to redesign or reconstruct the MSWLF units due to amendments to these rules subsequent to such approval unless the department finds that such units are causing pollution or that continued use of such units will result in a vertical expansion on top of or against the side slopes of a previously filled noncompliant MSWLF unit. Prior to waste placement in the vertical expansion area, revised design plans shall be submitted to include construction of a separatory liner and leachate collection system that comply with all the requirements of </w:t>
      </w:r>
      <w:hyperlink r:id="rId13">
        <w:r>
          <w:rPr>
            <w:rStyle w:val="Hyperlink"/>
            <w:rFonts w:ascii="Times New Roman" w:hAnsi="Times New Roman"/>
            <w:b w:val="false"/>
            <w:i w:val="false"/>
            <w:color w:val="000000"/>
            <w:sz w:val="22"/>
          </w:rPr>
          <w:t>101.107(5)</w:t>
        </w:r>
      </w:hyperlink>
      <w:r>
        <w:rPr>
          <w:rFonts w:ascii="Times New Roman" w:hAnsi="Times New Roman"/>
          <w:b w:val="false"/>
          <w:i w:val="false"/>
          <w:color w:val="000000"/>
          <w:sz w:val="22"/>
        </w:rPr>
        <w:t xml:space="preserve"> to be placed between the area of vertical expansion and the underlying noncompliant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authorized by </w:t>
      </w:r>
      <w:hyperlink r:id="rId14">
        <w:r>
          <w:rPr>
            <w:rStyle w:val="Hyperlink"/>
            <w:rFonts w:ascii="Times New Roman" w:hAnsi="Times New Roman"/>
            <w:b w:val="false"/>
            <w:i w:val="false"/>
            <w:color w:val="000000"/>
            <w:sz w:val="22"/>
          </w:rPr>
          <w:t>101.102(8)</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any new regulation conflicts with a provision of or an operating procedure prescribed in the engineering plans or the MSWLF permit, the facility shall conform to the new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101.102(9)</w:t>
      </w:r>
      <w:r>
        <w:rPr>
          <w:rFonts w:ascii="Times New Roman" w:hAnsi="Times New Roman"/>
          <w:b w:val="false"/>
          <w:i w:val="false"/>
          <w:color w:val="000000"/>
          <w:sz w:val="22"/>
        </w:rPr>
        <w:t> </w:t>
      </w:r>
      <w:r>
        <w:rPr>
          <w:rFonts w:ascii="Times New Roman" w:hAnsi="Times New Roman"/>
          <w:b w:val="false"/>
          <w:i w:val="false"/>
          <w:color w:val="000000"/>
          <w:sz w:val="22"/>
        </w:rPr>
        <w:t>Equivalency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approving a permit application under this division, the department may authorize, in writing, alternatives to the design requirements in this division only if, and only to the extent that, specific rules in this division expressly state that alternatives may be authorized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operator requesting an alternative design under this division shall submit a request to the department prepared by an Iowa-licensed professional engineer. 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specific rule for which an equivalency alternative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through supporting technical documentation, justification and quality control procedures that the requested alternative to the design requirements in the rules of this division will, for the life of operations at the facility, achieve the performance standards in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equivalency alternative will be approved unless the application affirmatively demonstrates that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is complete and accurate and the requirements of this subrule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alternative will provide protection equivalent to the design requirements in this division for the air, water, or other natural resources of the state of Iowa and will not harm or endanger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101.102(10)</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5.pdf"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ac/rule/567.101.114.pdf" Type="http://schemas.openxmlformats.org/officeDocument/2006/relationships/hyperlink" Id="rId6"/>
    <Relationship TargetMode="External" Target="https://www.legis.iowa.gov/docs/iac/rule/567.101.110.pdf" Type="http://schemas.openxmlformats.org/officeDocument/2006/relationships/hyperlink" Id="rId7"/>
    <Relationship TargetMode="External" Target="https://www.legis.iowa.gov/docs/iac/rule/567.101.102.pdf" Type="http://schemas.openxmlformats.org/officeDocument/2006/relationships/hyperlink" Id="rId8"/>
    <Relationship TargetMode="External" Target="https://www.legis.iowa.gov/docs/iac/rule/567.101.110.pdf" Type="http://schemas.openxmlformats.org/officeDocument/2006/relationships/hyperlink" Id="rId9"/>
    <Relationship TargetMode="External" Target="https://www.legis.iowa.gov/docs/iac/rule/567.101.110.pdf" Type="http://schemas.openxmlformats.org/officeDocument/2006/relationships/hyperlink" Id="rId10"/>
    <Relationship TargetMode="External" Target="https://www.legis.iowa.gov/docs/iac/rule/567.101.110.pdf" Type="http://schemas.openxmlformats.org/officeDocument/2006/relationships/hyperlink" Id="rId11"/>
    <Relationship TargetMode="External" Target="https://www.legis.iowa.gov/docs/iac/rule/567.101.110.pdf" Type="http://schemas.openxmlformats.org/officeDocument/2006/relationships/hyperlink" Id="rId12"/>
    <Relationship TargetMode="External" Target="https://www.legis.iowa.gov/docs/iac/rule/567.101.107.pdf" Type="http://schemas.openxmlformats.org/officeDocument/2006/relationships/hyperlink" Id="rId13"/>
    <Relationship TargetMode="External" Target="https://www.legis.iowa.gov/docs/iac/rule/567.101.102.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