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chapter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(solid waste disposal), and to protect human health and the environment through the implementation of minimum national standards pursuant to the Resource Conservation and Recovery Act (“RCRA” or “the Act”) for all municipal solid waste landfill (MSWLF) units and under the Clean Water Act for MSWLFs that are used to dispose of sewage sludge.</w:t>
      </w:r>
    </w:p>
    <w:p>
      <w:pPr>
        <w:spacing w:before="0" w:after="0"/>
        <w:ind w:left="120"/>
        <w:jc w:val="both"/>
      </w:pPr>
      <w:r>
        <w:rPr>
          <w:rFonts w:ascii="Times New Roman" w:hAnsi="Times New Roman"/>
          <w:b w:val="false"/>
          <w:i w:val="false"/>
          <w:color w:val="000000"/>
          <w:sz w:val="22"/>
        </w:rPr>
        <w:t>This division details the permitting, siting, design, operating, monitoring, corrective action, reporting, recordkeeping, closure, and post-closure requirements for sanitary landfills accepting municipal solid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