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567—101.1</w:t>
      </w:r>
      <w:r>
        <w:rPr>
          <w:rFonts w:ascii="Times New Roman" w:hAnsi="Times New Roman"/>
          <w:b/>
          <w:i w:val="false"/>
          <w:color w:val="000000"/>
          <w:sz w:val="22"/>
        </w:rPr>
        <w:t xml:space="preserve">(455B) </w:t>
      </w:r>
      <w:r>
        <w:rPr>
          <w:rFonts w:ascii="Times New Roman" w:hAnsi="Times New Roman"/>
          <w:b/>
          <w:i w:val="false"/>
          <w:color w:val="000000"/>
          <w:sz w:val="22"/>
        </w:rPr>
        <w:t xml:space="preserve">Purpose, applicability, and compliance. </w:t>
      </w:r>
      <w:r>
        <w:rPr>
          <w:rFonts w:ascii="Times New Roman" w:hAnsi="Times New Roman"/>
          <w:b w:val="false"/>
          <w:i w:val="false"/>
          <w:color w:val="000000"/>
          <w:sz w:val="22"/>
        </w:rPr>
        <w:t xml:space="preserve">The purpose of this division is to provide sanitary landfill-specific requirements for sanitary disposal projects regulated in Divisions II, III, and IV of this chapter. All sanitary landfills regulated in Divisions II, III, and IV of this chapter must comply with the provisions of this division and with </w:t>
      </w:r>
      <w:hyperlink r:id="rId4">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except as noted below and in those respective divisions.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w:t>
      </w:r>
      <w:r>
        <w:rPr>
          <w:rFonts w:ascii="Times New Roman" w:hAnsi="Times New Roman"/>
          <w:b w:val="false"/>
          <w:i w:val="false"/>
          <w:color w:val="000000"/>
          <w:sz w:val="22"/>
        </w:rPr>
        <w:t> </w:t>
      </w:r>
      <w:r>
        <w:rPr>
          <w:rFonts w:ascii="Times New Roman" w:hAnsi="Times New Roman"/>
          <w:b w:val="false"/>
          <w:i w:val="false"/>
          <w:color w:val="000000"/>
          <w:sz w:val="22"/>
        </w:rPr>
        <w:t>Municipal solid waste landfills that did not receive waste after October 9, 1994, shall be governed by the closure permit issued or the rules in place at the time for post-closure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w:t>
      </w:r>
      <w:r>
        <w:rPr>
          <w:rFonts w:ascii="Times New Roman" w:hAnsi="Times New Roman"/>
          <w:b w:val="false"/>
          <w:i w:val="false"/>
          <w:color w:val="000000"/>
          <w:sz w:val="22"/>
        </w:rPr>
        <w:t> </w:t>
      </w:r>
      <w:r>
        <w:rPr>
          <w:rFonts w:ascii="Times New Roman" w:hAnsi="Times New Roman"/>
          <w:b w:val="false"/>
          <w:i w:val="false"/>
          <w:color w:val="000000"/>
          <w:sz w:val="22"/>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567.100.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