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567—100.7</w:t>
      </w:r>
      <w:r>
        <w:rPr>
          <w:rFonts w:ascii="Times New Roman" w:hAnsi="Times New Roman"/>
          <w:b/>
          <w:i w:val="false"/>
          <w:color w:val="000000"/>
          <w:sz w:val="22"/>
        </w:rPr>
        <w:t xml:space="preserve">(455B,455D) </w:t>
      </w:r>
      <w:r>
        <w:rPr>
          <w:rFonts w:ascii="Times New Roman" w:hAnsi="Times New Roman"/>
          <w:b/>
          <w:i w:val="false"/>
          <w:color w:val="000000"/>
          <w:sz w:val="22"/>
        </w:rPr>
        <w:t xml:space="preserve">Inspection prior to start-up. </w:t>
      </w:r>
      <w:r>
        <w:rPr>
          <w:rFonts w:ascii="Times New Roman" w:hAnsi="Times New Roman"/>
          <w:b w:val="false"/>
          <w:i w:val="false"/>
          <w:color w:val="000000"/>
          <w:sz w:val="22"/>
        </w:rPr>
        <w:t>The department shall be notified when the construction of a sanitary disposal project or solid waste management activity has been completed, in order that an inspection may be made to determine if the project has been constructed as designed and approved by the department. No solid waste shall be accepted by a sanitary disposal project or solid waste management activity until it has been inspected and approved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