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Construction and operation. </w:t>
      </w:r>
      <w:r>
        <w:rPr>
          <w:rFonts w:ascii="Times New Roman" w:hAnsi="Times New Roman"/>
          <w:b w:val="false"/>
          <w:i w:val="false"/>
          <w:color w:val="000000"/>
          <w:sz w:val="22"/>
        </w:rPr>
        <w:t>All sanitary disposal projects and solid waste management activities shall be constructed and operated according to the plans and specifications as approved by the department and the conditions of the permit. The approved plans and specifications shall constitute a condition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