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 xml:space="preserve">Each application for a permit to construct and operate a sanitary disposal project or solid waste management activity shall include the following unless project conditions render the specific item as not applicable. The rationale for exclusion of any item that is determined not to be applicable must be provided in either the body of the application or as a supplement to facilitate department review. Each application shall be on a form prescribed by the department and include specific information as required by 567—Chapter </w:t>
      </w:r>
      <w:hyperlink r:id="rId4">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102</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 of site where the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Professional engineer (P.E.) licensed in the state of Iowa and retained for financial assurance or the design of the facility,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legal description and physical address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map or aerial photograph locating the boundaries of the site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North or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site with load limits or other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Homes and buildings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Section lines or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source, and expected volume or weight of solid waste to be handled per day, week, and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municipal solid waste sanitary disposal projects, the solid waste comprehensive planning area of the facility and political jurisdictions included within that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management or disposal process to be used and the sanitary disposal project designated for final disposal,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listing of equipment available on site for operations, including types as well as size, capacity, and production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or legal entitlement to use the site for the management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closure plan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Details how and when the facility will be closed in accordance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Describes the proposed groundwater monitoring plan, leachate control system, and site inspection and maintenance activities,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States the name, address, email, and telephone number of the person or office to serve as contact with regard to the facility during the post-closure period,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For sanitary disposal projects, an emergency response and remedial action plan (ERRAP) pursuant to </w:t>
      </w:r>
      <w:hyperlink r:id="rId6">
        <w:r>
          <w:rPr>
            <w:rStyle w:val="Hyperlink"/>
            <w:rFonts w:ascii="Times New Roman" w:hAnsi="Times New Roman"/>
            <w:b w:val="false"/>
            <w:i w:val="false"/>
            <w:color w:val="000000"/>
            <w:sz w:val="22"/>
          </w:rPr>
          <w:t>567—100.14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assurance pursuant to </w:t>
      </w:r>
      <w:hyperlink r:id="rId7">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 Division VIII, for all sanitary disposal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may be required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100.5(2)</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 </w:t>
      </w:r>
      <w:r>
        <w:rPr>
          <w:rFonts w:ascii="Times New Roman" w:hAnsi="Times New Roman"/>
          <w:b w:val="false"/>
          <w:i w:val="false"/>
          <w:color w:val="000000"/>
          <w:sz w:val="22"/>
        </w:rPr>
        <w:t>If an application for a permit is found to be incomplete by the department, the applicant will be notified of that fact and of the specific deficiencies. Thirty days following such notification, the application may be returned by the department as incomplete without prejudice to the applicant’s right to reapply. The applicant may be granted, upon request, an additional 30 days to complete the application. If an application for renewal or modification is found to be incomplete by the department, the applicant will be notified of that fact and of the specific deficiencies. Thirty days following such notification, the application for renewal or modification may be denied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100.5(3)</w:t>
      </w:r>
      <w:r>
        <w:rPr>
          <w:rFonts w:ascii="Times New Roman" w:hAnsi="Times New Roman"/>
          <w:b w:val="false"/>
          <w:i w:val="false"/>
          <w:color w:val="000000"/>
          <w:sz w:val="22"/>
        </w:rPr>
        <w:t> </w:t>
      </w:r>
      <w:r>
        <w:rPr>
          <w:rFonts w:ascii="Times New Roman" w:hAnsi="Times New Roman"/>
          <w:b w:val="false"/>
          <w:i/>
          <w:color w:val="000000"/>
          <w:sz w:val="22"/>
        </w:rPr>
        <w:t xml:space="preserve">Factors in permit issuance decision. </w:t>
      </w:r>
      <w:r>
        <w:rPr>
          <w:rFonts w:ascii="Times New Roman" w:hAnsi="Times New Roman"/>
          <w:b w:val="false"/>
          <w:i w:val="false"/>
          <w:color w:val="000000"/>
          <w:sz w:val="22"/>
        </w:rPr>
        <w:t xml:space="preserve">The department may request that additional information be submitted for review to make a permit issuance decision. The department shall issue a permit if, after a review and inspection of the facility and its compliance history, the department finds that the facility is in substantial compliance with Iowa Code chapters </w:t>
      </w:r>
      <w:hyperlink r:id="rId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these rules, and the conditions of the permit. If the facility is found not to be in substantial compliance with Iowa Code chapters </w:t>
      </w:r>
      <w:hyperlink r:id="rId1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these rules, and the conditions of the permit, or if a good-faith effort to maintain compliance is not being made, the project shall be placed on a compliance schedule approved by the department before the permit is issued. The permit may be issued with new conditions pursuant to </w:t>
      </w:r>
      <w:hyperlink r:id="rId12">
        <w:r>
          <w:rPr>
            <w:rStyle w:val="Hyperlink"/>
            <w:rFonts w:ascii="Times New Roman" w:hAnsi="Times New Roman"/>
            <w:b w:val="false"/>
            <w:i w:val="false"/>
            <w:color w:val="000000"/>
            <w:sz w:val="22"/>
          </w:rPr>
          <w:t>567—100.8</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w:t>
      </w:r>
      <w:r>
        <w:rPr>
          <w:rFonts w:ascii="Times New Roman" w:hAnsi="Times New Roman"/>
          <w:b w:val="false"/>
          <w:i w:val="false"/>
          <w:color w:val="000000"/>
          <w:sz w:val="22"/>
        </w:rPr>
        <w:t> </w:t>
      </w:r>
      <w:r>
        <w:rPr>
          <w:rFonts w:ascii="Times New Roman" w:hAnsi="Times New Roman"/>
          <w:b w:val="false"/>
          <w:i/>
          <w:color w:val="000000"/>
          <w:sz w:val="22"/>
        </w:rPr>
        <w:t xml:space="preserve">Request for permit modification. </w:t>
      </w:r>
      <w:r>
        <w:rPr>
          <w:rFonts w:ascii="Times New Roman" w:hAnsi="Times New Roman"/>
          <w:b w:val="false"/>
          <w:i w:val="false"/>
          <w:color w:val="000000"/>
          <w:sz w:val="22"/>
        </w:rPr>
        <w:t xml:space="preserve">A request for permit modification shall be submitted in writing to the department with supporting documentation and materials. The department may also request that information pursuant to </w:t>
      </w:r>
      <w:hyperlink r:id="rId13">
        <w:r>
          <w:rPr>
            <w:rStyle w:val="Hyperlink"/>
            <w:rFonts w:ascii="Times New Roman" w:hAnsi="Times New Roman"/>
            <w:b w:val="false"/>
            <w:i w:val="false"/>
            <w:color w:val="000000"/>
            <w:sz w:val="22"/>
          </w:rPr>
          <w:t>100.5(1)</w:t>
        </w:r>
      </w:hyperlink>
      <w:r>
        <w:rPr>
          <w:rFonts w:ascii="Times New Roman" w:hAnsi="Times New Roman"/>
          <w:b w:val="false"/>
          <w:i w:val="false"/>
          <w:color w:val="000000"/>
          <w:sz w:val="22"/>
        </w:rPr>
        <w:t xml:space="preserve"> be resubmitted, in part or in whole, in order to make a permit modification decision. The modified permit may be approved with new conditions pursuant to </w:t>
      </w:r>
      <w:hyperlink r:id="rId14">
        <w:r>
          <w:rPr>
            <w:rStyle w:val="Hyperlink"/>
            <w:rFonts w:ascii="Times New Roman" w:hAnsi="Times New Roman"/>
            <w:b w:val="false"/>
            <w:i w:val="false"/>
            <w:color w:val="000000"/>
            <w:sz w:val="22"/>
          </w:rPr>
          <w:t>567—100.8</w:t>
        </w:r>
      </w:hyperlink>
      <w:r>
        <w:rPr>
          <w:rFonts w:ascii="Times New Roman" w:hAnsi="Times New Roman"/>
          <w:b w:val="false"/>
          <w:i w:val="false"/>
          <w:color w:val="000000"/>
          <w:sz w:val="22"/>
        </w:rPr>
        <w:t>(455B,455D).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01.pdf" Type="http://schemas.openxmlformats.org/officeDocument/2006/relationships/hyperlink" Id="rId4"/>
    <Relationship TargetMode="External" Target="https://www.legis.iowa.gov/docs/iac/chapter/567.102.pdf" Type="http://schemas.openxmlformats.org/officeDocument/2006/relationships/hyperlink" Id="rId5"/>
    <Relationship TargetMode="External" Target="https://www.legis.iowa.gov/docs/iac/rule/567.100.14.pdf" Type="http://schemas.openxmlformats.org/officeDocument/2006/relationships/hyperlink" Id="rId6"/>
    <Relationship TargetMode="External" Target="https://www.legis.iowa.gov/docs/iac/chapter/567.101.pdf" Type="http://schemas.openxmlformats.org/officeDocument/2006/relationships/hyperlink" Id="rId7"/>
    <Relationship TargetMode="External" Target="https://www.legis.iowa.gov/docs/ico/chapter/455B.pdf" Type="http://schemas.openxmlformats.org/officeDocument/2006/relationships/hyperlink" Id="rId8"/>
    <Relationship TargetMode="External" Target="https://www.legis.iowa.gov/docs/ico/chapter/455D.pdf" Type="http://schemas.openxmlformats.org/officeDocument/2006/relationships/hyperlink" Id="rId9"/>
    <Relationship TargetMode="External" Target="https://www.legis.iowa.gov/docs/ico/chapter/455B.pdf" Type="http://schemas.openxmlformats.org/officeDocument/2006/relationships/hyperlink" Id="rId10"/>
    <Relationship TargetMode="External" Target="https://www.legis.iowa.gov/docs/ico/chapter/455D.pdf" Type="http://schemas.openxmlformats.org/officeDocument/2006/relationships/hyperlink" Id="rId11"/>
    <Relationship TargetMode="External" Target="https://www.legis.iowa.gov/docs/iac/rule/567.100.8.pdf" Type="http://schemas.openxmlformats.org/officeDocument/2006/relationships/hyperlink" Id="rId12"/>
    <Relationship TargetMode="External" Target="https://www.legis.iowa.gov/docs/iac/rule/567.100.5.pdf" Type="http://schemas.openxmlformats.org/officeDocument/2006/relationships/hyperlink" Id="rId13"/>
    <Relationship TargetMode="External" Target="https://www.legis.iowa.gov/docs/iac/rule/567.100.8.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