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567—100.14</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 </w:t>
      </w:r>
      <w:hyperlink r:id="rId4">
        <w:r>
          <w:rPr>
            <w:rStyle w:val="Hyperlink"/>
            <w:rFonts w:ascii="Times New Roman" w:hAnsi="Times New Roman"/>
            <w:b w:val="false"/>
            <w:i w:val="false"/>
            <w:color w:val="000000"/>
            <w:sz w:val="22"/>
          </w:rPr>
          <w:t>455B.306(7)</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the criteria for developing a detailed ERRAP for permitted sanitary disposal projects. Each ERRAP shall include established provisions to minimize the possibility of fire; explosion; or any release to air, land, or water of pollutants that could threaten human health and the environment and to identify possible occurrences that may endanger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the owners or operators of all sanitary disposal projects that are permitted pursuant to </w:t>
      </w:r>
      <w:hyperlink r:id="rId5">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xml:space="preserve"> and any activity deemed necessary by the department to maintain an ERRAP as part of their permit. The ERRAP does not replace or supersede other regulatory requirements related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facility that is subject to this rule shall, at the time of application,  incorporate a complete, detailed ERRAP that meets the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updated ERRAP shall be submitted at the time of each permit renewal or permit reissuance application and with any request for permit modification or significant change in facility operation that requires revision of the currently approved ERRAP.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100.14(4)</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determined not to be applicable must be provided in either the body of the plan or as a supplement to facilitate department review. Additional ERRAP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Department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455B.306(7)</w:t>
        </w:r>
      </w:hyperlink>
      <w:r>
        <w:rPr>
          <w:rFonts w:ascii="Times New Roman" w:hAnsi="Times New Roman"/>
          <w:b w:val="false"/>
          <w:i/>
          <w:color w:val="000000"/>
          <w:sz w:val="22"/>
        </w:rPr>
        <w:t>“d”</w:t>
      </w:r>
      <w:r>
        <w:rPr>
          <w:rFonts w:ascii="Times New Roman" w:hAnsi="Times New Roman"/>
          <w:b w:val="false"/>
          <w:i w:val="false"/>
          <w:color w:val="000000"/>
          <w:sz w:val="22"/>
        </w:rPr>
        <w:t xml:space="preserve"> criteria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conditions—response activities—remedial action for short-term (48 hours or less) and long-term (over 48 hours)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utilities that impede or prohibit operation of the facility, including but not limited to power/electricity and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Weather-related events that impede or prohibit operations of the facility, including but not limited to flooding and storms.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Fire and explosions related to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Solid waste fires, including landfill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Landfill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Solid waste spills and releases, including but not limited to waste materials, leachate, and landfill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Mass movement of land and waste, including but not limited to earthquakes, slope failures, waste shifts, or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notifications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response agencies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Communications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Temporary discontinuation of services—short- and long-term.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completion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100.14(5)</w:t>
      </w:r>
      <w:r>
        <w:rPr>
          <w:rFonts w:ascii="Times New Roman" w:hAnsi="Times New Roman"/>
          <w:b w:val="false"/>
          <w:i w:val="false"/>
          <w:color w:val="000000"/>
          <w:sz w:val="22"/>
        </w:rPr>
        <w:t> </w:t>
      </w:r>
      <w:r>
        <w:rPr>
          <w:rFonts w:ascii="Times New Roman" w:hAnsi="Times New Roman"/>
          <w:b w:val="false"/>
          <w:i/>
          <w:color w:val="000000"/>
          <w:sz w:val="22"/>
        </w:rPr>
        <w:t xml:space="preserve">ERRAP review. </w:t>
      </w:r>
      <w:r>
        <w:rPr>
          <w:rFonts w:ascii="Times New Roman" w:hAnsi="Times New Roman"/>
          <w:b w:val="false"/>
          <w:i w:val="false"/>
          <w:color w:val="000000"/>
          <w:sz w:val="22"/>
        </w:rPr>
        <w:t>The ERRAP shall be developed with the review and input of the local fire department and local emergency management coordinator. Documentation shall be maintained that such review and input has been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6.pdf" Type="http://schemas.openxmlformats.org/officeDocument/2006/relationships/hyperlink" Id="rId4"/>
    <Relationship TargetMode="External" Target="https://www.legis.iowa.gov/docs/iac/chapter/567.101.pdf" Type="http://schemas.openxmlformats.org/officeDocument/2006/relationships/hyperlink" Id="rId5"/>
    <Relationship TargetMode="External" Target="https://www.legis.iowa.gov/docs/ico/chapter/455B.3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