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567—100.12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Transfer of title. </w:t>
      </w:r>
      <w:r>
        <w:rPr>
          <w:rFonts w:ascii="Times New Roman" w:hAnsi="Times New Roman"/>
          <w:b w:val="false"/>
          <w:i w:val="false"/>
          <w:color w:val="000000"/>
          <w:sz w:val="22"/>
        </w:rPr>
        <w:t>If title to a sanitary disposal project or solid waste management activity is transferred and the transferee desires to continue operation of the project, the transferee shall apply in writing to the department within 30 days of the title transfer for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transfer the permit when it determines that the site is in compliance with Iowa Code chapters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these rules, and the conditions of the permit and that the transferee possesses the equipment and personnel to operate the project in conformance with applicable rules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100.12(2)</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permit is valid after 60 days following transfer of title unless the permit has been transferred by the department to the new titleholder pursuant to this rule. If the permit has not been transferred within 60 days, the new titleholder shall submit a complete permit application to operate the sanitary disposal project or solid waste management activity pursuant to </w:t>
      </w:r>
      <w:hyperlink r:id="rId6">
        <w:r>
          <w:rPr>
            <w:rStyle w:val="Hyperlink"/>
            <w:rFonts w:ascii="Times New Roman" w:hAnsi="Times New Roman"/>
            <w:b w:val="false"/>
            <w:i w:val="false"/>
            <w:color w:val="000000"/>
            <w:sz w:val="22"/>
          </w:rPr>
          <w:t>567—100.5</w:t>
        </w:r>
      </w:hyperlink>
      <w:r>
        <w:rPr>
          <w:rFonts w:ascii="Times New Roman" w:hAnsi="Times New Roman"/>
          <w:b w:val="false"/>
          <w:i w:val="false"/>
          <w:color w:val="000000"/>
          <w:sz w:val="22"/>
        </w:rPr>
        <w:t>(455B,455D).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Mode="External" Target="https://www.legis.iowa.gov/docs/ico/chapter/455D.pdf" Type="http://schemas.openxmlformats.org/officeDocument/2006/relationships/hyperlink" Id="rId5"/>
    <Relationship TargetMode="External" Target="https://www.legis.iowa.gov/docs/iac/rule/567.100.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