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Scope of title. </w:t>
      </w:r>
      <w:r>
        <w:rPr>
          <w:rFonts w:ascii="Times New Roman" w:hAnsi="Times New Roman"/>
          <w:b w:val="false"/>
          <w:i w:val="false"/>
          <w:color w:val="000000"/>
          <w:sz w:val="22"/>
        </w:rPr>
        <w:t>The department has jurisdiction over the management, dumping, depositing, and disposal of solid waste by establishing standards and regulating solid waste through a system of general rules and specific permits. The construction and operation of any sanitary disposal project or solid waste management activity requires a specific permit from the department.</w:t>
      </w:r>
    </w:p>
    <w:p>
      <w:pPr>
        <w:spacing w:before="0" w:after="0"/>
        <w:ind w:left="120"/>
        <w:jc w:val="both"/>
      </w:pPr>
      <w:r>
        <w:rPr>
          <w:rFonts w:ascii="Times New Roman" w:hAnsi="Times New Roman"/>
          <w:b w:val="false"/>
          <w:i w:val="false"/>
          <w:color w:val="000000"/>
          <w:sz w:val="22"/>
        </w:rPr>
        <w:t>This chapter provides general definitions applicable to Title VIII (solid waste management and disposal) of the commission’s rules and general conditions of solid waste disposal.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