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481—804.9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804.9(1)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 on a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804.9(2)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w:t>
      </w:r>
      <w:hyperlink r:id="rId4">
        <w:r>
          <w:rPr>
            <w:rStyle w:val="Hyperlink"/>
            <w:rFonts w:ascii="Times New Roman" w:hAnsi="Times New Roman"/>
            <w:b w:val="false"/>
            <w:i w:val="false"/>
            <w:color w:val="000000"/>
            <w:sz w:val="22"/>
          </w:rPr>
          <w:t>481—subrule 507.11(5)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804.9(3)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occupational therapy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15 hours of continuing education for an occupational therapy assistant and 30 hours of continuing education for an occupational therapist within two years of application for reactivation; or verification of active practice, consisting of a minimum of 2,080 hours, in another state or jurisdiction during the two years preceding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the license from the jurisdiction in which the applicant has most recently been practicing during the time period the Iowa license was inactive, sent directly from the jurisdiction to the board office. Web-based verification may be substituted for verification from a jurisdiction’s board office if the verification includes: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30 hours of continuing education for an occupational therapy assistant and 60 hours of continuing education for an occupational therapist within two years of application for reactivation; verification of active practice, consisting of a minimum of 2,080 hours, in another state or jurisdiction during the two years preceding an application for reactivation; or evidence of successful completion of the professional examination required for initial licensure completed within one year prior to the submission of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804.9(4)</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inactive for two or more years and the licensee cannot provide verification of active practice, consisting of a minimum of 2,080 hours, in another state or jurisdiction during the two years preceding an application for reactivation, submit required waivers and fingerprints pursuant to the board-approved process to facilitate a national criminal history background check. The cost for the evaluation of the fingerprint packet and the DCI and FBI criminal history background checks will be assessed to the applicant. The board may withhold issuing a license pending receipt of a report from the DCI and FBI.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0501D</w:t>
      </w:r>
      <w:r>
        <w:rPr>
          <w:rFonts w:ascii="Times New Roman" w:hAnsi="Times New Roman"/>
          <w:b w:val="false"/>
          <w:i w:val="false"/>
          <w:color w:val="000000"/>
          <w:sz w:val="16"/>
        </w:rPr>
        <w:t>, IAB 8/19/26, effective 7/1/27</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507.1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