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an occupational therapist or occupational therapy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4">
        <w:r>
          <w:rPr>
            <w:rStyle w:val="Hyperlink"/>
            <w:rFonts w:ascii="Times New Roman" w:hAnsi="Times New Roman"/>
            <w:b w:val="false"/>
            <w:i w:val="false"/>
            <w:color w:val="000000"/>
            <w:sz w:val="22"/>
          </w:rPr>
          <w:t>481—805.2</w:t>
        </w:r>
      </w:hyperlink>
      <w:r>
        <w:rPr>
          <w:rFonts w:ascii="Times New Roman" w:hAnsi="Times New Roman"/>
          <w:b w:val="false"/>
          <w:i w:val="false"/>
          <w:color w:val="000000"/>
          <w:sz w:val="22"/>
        </w:rPr>
        <w:t xml:space="preserve">(272C) and the mandatory reporting requirements of rule </w:t>
      </w:r>
      <w:hyperlink r:id="rId5">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A licensee whose license was reactivated during the current renewal compliance period may use continuing education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7">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8">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10">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an occupational or mental disability or illness as identified in </w:t>
      </w:r>
      <w:hyperlink r:id="rId11">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occupational therapists or occupational therapy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12">
        <w:r>
          <w:rPr>
            <w:rStyle w:val="Hyperlink"/>
            <w:rFonts w:ascii="Times New Roman" w:hAnsi="Times New Roman"/>
            <w:b w:val="false"/>
            <w:i w:val="false"/>
            <w:color w:val="000000"/>
            <w:sz w:val="22"/>
          </w:rPr>
          <w:t>481—subrule 507.11(4)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occupational therapist or occupational therapy assistant in Iowa until the license is reactivated. A licensee who practices as an occupational therapist or occupational therapy assistant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804.8(9)</w:t>
      </w:r>
      <w:r>
        <w:rPr>
          <w:rFonts w:ascii="Times New Roman" w:hAnsi="Times New Roman"/>
          <w:b w:val="false"/>
          <w:i w:val="false"/>
          <w:color w:val="000000"/>
          <w:sz w:val="22"/>
        </w:rPr>
        <w:t> </w:t>
      </w:r>
      <w:r>
        <w:rPr>
          <w:rFonts w:ascii="Times New Roman" w:hAnsi="Times New Roman"/>
          <w:b w:val="false"/>
          <w:i w:val="false"/>
          <w:color w:val="000000"/>
          <w:sz w:val="22"/>
        </w:rPr>
        <w:t>Compact eligibility review. This rule applies to licensees who were licensed prior to adoption of this rule. In order to complete the compact eligibility review, at or prior to the next renewal, a licensee must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05.2.pdf" Type="http://schemas.openxmlformats.org/officeDocument/2006/relationships/hyperlink" Id="rId4"/>
    <Relationship TargetMode="External" Target="https://www.legis.iowa.gov/docs/iac/rule/481.804.9.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2.69.pdf" Type="http://schemas.openxmlformats.org/officeDocument/2006/relationships/hyperlink" Id="rId7"/>
    <Relationship TargetMode="External" Target="https://www.legis.iowa.gov/docs/ico/chapter/235B.3.pdf" Type="http://schemas.openxmlformats.org/officeDocument/2006/relationships/hyperlink" Id="rId8"/>
    <Relationship TargetMode="External" Target="https://www.legis.iowa.gov/docs/ico/chapter/235E.2.pdf" Type="http://schemas.openxmlformats.org/officeDocument/2006/relationships/hyperlink" Id="rId9"/>
    <Relationship TargetMode="External" Target="https://www.legis.iowa.gov/docs/ico/chapter/235B.16.pdf" Type="http://schemas.openxmlformats.org/officeDocument/2006/relationships/hyperlink" Id="rId10"/>
    <Relationship TargetMode="External" Target="https://www.legis.iowa.gov/docs/iac/chapter/481.500.pdf" Type="http://schemas.openxmlformats.org/officeDocument/2006/relationships/hyperlink" Id="rId11"/>
    <Relationship TargetMode="External" Target="https://www.legis.iowa.gov/docs/iac/rule/481.507.11.pdf" Type="http://schemas.openxmlformats.org/officeDocument/2006/relationships/hyperlink" Id="rId12"/>
    <Relationship TargetMode="External" Target="https://www.legis.iowa.gov/docs/ico/chapter/147.83.pdf" Type="http://schemas.openxmlformats.org/officeDocument/2006/relationships/hyperlink" Id="rId13"/>
    <Relationship TargetMode="External" Target="https://www.legis.iowa.gov/docs/ico/chapter/147.8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