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481—804.7</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804.7(1)</w:t>
      </w:r>
      <w:r>
        <w:rPr>
          <w:rFonts w:ascii="Times New Roman" w:hAnsi="Times New Roman"/>
          <w:b w:val="false"/>
          <w:i w:val="false"/>
          <w:color w:val="000000"/>
          <w:sz w:val="22"/>
        </w:rPr>
        <w:t> </w:t>
      </w:r>
      <w:r>
        <w:rPr>
          <w:rFonts w:ascii="Times New Roman" w:hAnsi="Times New Roman"/>
          <w:b w:val="false"/>
          <w:i w:val="false"/>
          <w:color w:val="000000"/>
          <w:sz w:val="22"/>
        </w:rPr>
        <w:t>The applicant must present proof of meeting the following requirements for licensure as an occupational therapist or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therapist. </w:t>
      </w:r>
      <w:r>
        <w:rPr>
          <w:rFonts w:ascii="Times New Roman" w:hAnsi="Times New Roman"/>
          <w:b w:val="false"/>
          <w:i w:val="false"/>
          <w:color w:val="000000"/>
          <w:sz w:val="22"/>
        </w:rPr>
        <w:t>The applicant for licensure as an occupational therapist shall have completed the requirements for a degree in occupational therapy in an occupational therapy program accredited by the Accreditation Council for Occupational Therapy Education of the American Occupational Therapy Association. The transcript shall show completion of a supervised fieldwork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assistant. </w:t>
      </w:r>
      <w:r>
        <w:rPr>
          <w:rFonts w:ascii="Times New Roman" w:hAnsi="Times New Roman"/>
          <w:b w:val="false"/>
          <w:i w:val="false"/>
          <w:color w:val="000000"/>
          <w:sz w:val="22"/>
        </w:rPr>
        <w:t>The applicant for licensure as an occupational therapy assistant shall be a graduate of an educational program approved by the Accreditation Council for Occupational Therapy Education of the American Occupational Therapy Association. The transcript shall show completion of a supervised fieldwork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804.7(2)</w:t>
      </w:r>
      <w:r>
        <w:rPr>
          <w:rFonts w:ascii="Times New Roman" w:hAnsi="Times New Roman"/>
          <w:b w:val="false"/>
          <w:i w:val="false"/>
          <w:color w:val="000000"/>
          <w:sz w:val="22"/>
        </w:rPr>
        <w:t> </w:t>
      </w:r>
      <w:r>
        <w:rPr>
          <w:rFonts w:ascii="Times New Roman" w:hAnsi="Times New Roman"/>
          <w:b w:val="false"/>
          <w:i w:val="false"/>
          <w:color w:val="000000"/>
          <w:sz w:val="22"/>
        </w:rPr>
        <w:t>Foreign-trained occupational therapists and occupational therapy assistants. To become eligible to take the licensure examination, internationally educated occupational therapists must meet NBCOT eligibility requirements and undergo prescreening based on the status of their occupational therapy educational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