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441—64.6</w:t>
      </w:r>
      <w:r>
        <w:rPr>
          <w:rFonts w:ascii="Times New Roman" w:hAnsi="Times New Roman"/>
          <w:b/>
          <w:i w:val="false"/>
          <w:color w:val="000000"/>
          <w:sz w:val="22"/>
        </w:rPr>
        <w:t xml:space="preserve">(541A) </w:t>
      </w:r>
      <w:r>
        <w:rPr>
          <w:rFonts w:ascii="Times New Roman" w:hAnsi="Times New Roman"/>
          <w:b/>
          <w:i w:val="false"/>
          <w:color w:val="000000"/>
          <w:sz w:val="22"/>
        </w:rPr>
        <w:t xml:space="preserve">Notice of nonapproved withdrawals and closure of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color w:val="000000"/>
          <w:sz w:val="22"/>
        </w:rPr>
        <w:t xml:space="preserve">Nonapproved withdrawals and attempted withdrawals for nonapproved purposes. </w:t>
      </w:r>
      <w:r>
        <w:rPr>
          <w:rFonts w:ascii="Times New Roman" w:hAnsi="Times New Roman"/>
          <w:b w:val="false"/>
          <w:i w:val="false"/>
          <w:color w:val="000000"/>
          <w:sz w:val="22"/>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color w:val="000000"/>
          <w:sz w:val="22"/>
        </w:rPr>
        <w:t xml:space="preserve">Closure of an IDA by the operating organization. </w:t>
      </w:r>
      <w:r>
        <w:rPr>
          <w:rFonts w:ascii="Times New Roman" w:hAnsi="Times New Roman"/>
          <w:b w:val="false"/>
          <w:i w:val="false"/>
          <w:color w:val="000000"/>
          <w:sz w:val="22"/>
        </w:rPr>
        <w:t xml:space="preserve">The operating organization may close an IDA pursuant to Iowa Code section </w:t>
      </w:r>
      <w:hyperlink r:id="rId4">
        <w:r>
          <w:rPr>
            <w:rStyle w:val="Hyperlink"/>
            <w:rFonts w:ascii="Times New Roman" w:hAnsi="Times New Roman"/>
            <w:b w:val="false"/>
            <w:i w:val="false"/>
            <w:color w:val="000000"/>
            <w:sz w:val="22"/>
          </w:rPr>
          <w:t>541A.2(6)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1A.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