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441—64.5</w:t>
      </w:r>
      <w:r>
        <w:rPr>
          <w:rFonts w:ascii="Times New Roman" w:hAnsi="Times New Roman"/>
          <w:b/>
          <w:i w:val="false"/>
          <w:color w:val="000000"/>
          <w:sz w:val="22"/>
        </w:rPr>
        <w:t xml:space="preserve">(541A) </w:t>
      </w:r>
      <w:r>
        <w:rPr>
          <w:rFonts w:ascii="Times New Roman" w:hAnsi="Times New Roman"/>
          <w:b/>
          <w:i w:val="false"/>
          <w:color w:val="000000"/>
          <w:sz w:val="22"/>
        </w:rPr>
        <w:t xml:space="preserve">Authorized withdrawals of principal and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w:t>
      </w:r>
      <w:r>
        <w:rPr>
          <w:rFonts w:ascii="Times New Roman" w:hAnsi="Times New Roman"/>
          <w:b w:val="false"/>
          <w:i w:val="false"/>
          <w:color w:val="000000"/>
          <w:sz w:val="22"/>
        </w:rPr>
        <w:t> </w:t>
      </w:r>
      <w:r>
        <w:rPr>
          <w:rFonts w:ascii="Times New Roman" w:hAnsi="Times New Roman"/>
          <w:b w:val="false"/>
          <w:i/>
          <w:color w:val="000000"/>
          <w:sz w:val="22"/>
        </w:rPr>
        <w:t xml:space="preserve">Approved purposes for withdrawal of funds from an IDA. </w:t>
      </w:r>
      <w:r>
        <w:rPr>
          <w:rFonts w:ascii="Times New Roman" w:hAnsi="Times New Roman"/>
          <w:b w:val="false"/>
          <w:i w:val="false"/>
          <w:color w:val="000000"/>
          <w:sz w:val="22"/>
        </w:rPr>
        <w:t xml:space="preserve">An account holder may withdraw principal and income earned on principal from an IDA only with the written approval of the operating organization and only for the purposes outlined in Iowa Code section </w:t>
      </w:r>
      <w:hyperlink r:id="rId4">
        <w:r>
          <w:rPr>
            <w:rStyle w:val="Hyperlink"/>
            <w:rFonts w:ascii="Times New Roman" w:hAnsi="Times New Roman"/>
            <w:b w:val="false"/>
            <w:i w:val="false"/>
            <w:color w:val="000000"/>
            <w:sz w:val="22"/>
          </w:rPr>
          <w:t>541A.2(4)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w:t>
      </w:r>
      <w:r>
        <w:rPr>
          <w:rFonts w:ascii="Times New Roman" w:hAnsi="Times New Roman"/>
          <w:b w:val="false"/>
          <w:i w:val="false"/>
          <w:color w:val="000000"/>
          <w:sz w:val="22"/>
        </w:rPr>
        <w:t> </w:t>
      </w:r>
      <w:r>
        <w:rPr>
          <w:rFonts w:ascii="Times New Roman" w:hAnsi="Times New Roman"/>
          <w:b w:val="false"/>
          <w:i/>
          <w:color w:val="000000"/>
          <w:sz w:val="22"/>
        </w:rPr>
        <w:t xml:space="preserve">Conditions on withdrawals of principal and income. </w:t>
      </w:r>
      <w:r>
        <w:rPr>
          <w:rFonts w:ascii="Times New Roman" w:hAnsi="Times New Roman"/>
          <w:b w:val="false"/>
          <w:i w:val="false"/>
          <w:color w:val="000000"/>
          <w:sz w:val="22"/>
        </w:rPr>
        <w:t>An account holder may withdraw funds from the account holder’s IDA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of principal and income earned on principal, provided the sum is authorized under Iowa Code section </w:t>
      </w:r>
      <w:hyperlink r:id="rId5">
        <w:r>
          <w:rPr>
            <w:rStyle w:val="Hyperlink"/>
            <w:rFonts w:ascii="Times New Roman" w:hAnsi="Times New Roman"/>
            <w:b w:val="false"/>
            <w:i w:val="false"/>
            <w:color w:val="000000"/>
            <w:sz w:val="22"/>
          </w:rPr>
          <w:t>541A.2(4)</w:t>
        </w:r>
      </w:hyperlink>
      <w:r>
        <w:rPr>
          <w:rFonts w:ascii="Times New Roman" w:hAnsi="Times New Roman"/>
          <w:b w:val="false"/>
          <w:i w:val="false"/>
          <w:color w:val="000000"/>
          <w:sz w:val="22"/>
        </w:rPr>
        <w:t xml:space="preserve"> and in accordance with the procedure for authorized withdrawals set forth under subrule </w:t>
      </w:r>
      <w:hyperlink r:id="rId6">
        <w:r>
          <w:rPr>
            <w:rStyle w:val="Hyperlink"/>
            <w:rFonts w:ascii="Times New Roman" w:hAnsi="Times New Roman"/>
            <w:b w:val="false"/>
            <w:i w:val="false"/>
            <w:color w:val="000000"/>
            <w:sz w:val="22"/>
          </w:rPr>
          <w:t>64.5(3)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account holder is 59½ years of age or older, any amount of principal and income earned on principal. Such withdrawals shall not require the approval of the operating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account holder deposits and withdrawals. </w:t>
      </w:r>
      <w:r>
        <w:rPr>
          <w:rFonts w:ascii="Times New Roman" w:hAnsi="Times New Roman"/>
          <w:b w:val="false"/>
          <w:i w:val="false"/>
          <w:color w:val="000000"/>
          <w:sz w:val="22"/>
        </w:rPr>
        <w:t>The operating organization and the financial institution shall agree upon and provide to account holders procedures to facilitate authorized withdrawals.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0499D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1A.2.pdf" Type="http://schemas.openxmlformats.org/officeDocument/2006/relationships/hyperlink" Id="rId4"/>
    <Relationship TargetMode="External" Target="https://www.legis.iowa.gov/docs/ico/chapter/541A.2.pdf" Type="http://schemas.openxmlformats.org/officeDocument/2006/relationships/hyperlink" Id="rId5"/>
    <Relationship TargetMode="External" Target="https://www.legis.iowa.gov/docs/iac/rule/441.64.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