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441—64.4</w:t>
      </w:r>
      <w:r>
        <w:rPr>
          <w:rFonts w:ascii="Times New Roman" w:hAnsi="Times New Roman"/>
          <w:b/>
          <w:i w:val="false"/>
          <w:color w:val="000000"/>
          <w:sz w:val="22"/>
        </w:rPr>
        <w:t xml:space="preserve">(541A) </w:t>
      </w:r>
      <w:r>
        <w:rPr>
          <w:rFonts w:ascii="Times New Roman" w:hAnsi="Times New Roman"/>
          <w:b/>
          <w:i w:val="false"/>
          <w:color w:val="000000"/>
          <w:sz w:val="22"/>
        </w:rPr>
        <w:t xml:space="preserve">Requests for proposals—operation of IDAs.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w:t>
      </w:r>
      <w:r>
        <w:rPr>
          <w:rFonts w:ascii="Times New Roman" w:hAnsi="Times New Roman"/>
          <w:b w:val="false"/>
          <w:i w:val="false"/>
          <w:color w:val="000000"/>
          <w:sz w:val="22"/>
        </w:rPr>
        <w:t> </w:t>
      </w:r>
      <w:r>
        <w:rPr>
          <w:rFonts w:ascii="Times New Roman" w:hAnsi="Times New Roman"/>
          <w:b w:val="false"/>
          <w:i/>
          <w:color w:val="000000"/>
          <w:sz w:val="22"/>
        </w:rPr>
        <w:t xml:space="preserve">Issuance of requests for proposals. </w:t>
      </w:r>
      <w:r>
        <w:rPr>
          <w:rFonts w:ascii="Times New Roman" w:hAnsi="Times New Roman"/>
          <w:b w:val="false"/>
          <w:i w:val="false"/>
          <w:color w:val="000000"/>
          <w:sz w:val="22"/>
        </w:rPr>
        <w:t>The department may issue requests for proposals (RFPs) for operating organizations interested in operating an IDA program. The RFP will require the operating organization to provide information in its proposal regarding the financial institution that the operating organization will use for the proposed IDA program. The department will include such information in evaluating proposals submitted in response to the RFP.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w:t>
      </w:r>
      <w:r>
        <w:rPr>
          <w:rFonts w:ascii="Times New Roman" w:hAnsi="Times New Roman"/>
          <w:b w:val="false"/>
          <w:i w:val="false"/>
          <w:color w:val="000000"/>
          <w:sz w:val="22"/>
        </w:rPr>
        <w:t> </w:t>
      </w:r>
      <w:r>
        <w:rPr>
          <w:rFonts w:ascii="Times New Roman" w:hAnsi="Times New Roman"/>
          <w:b w:val="false"/>
          <w:i/>
          <w:color w:val="000000"/>
          <w:sz w:val="22"/>
        </w:rPr>
        <w:t xml:space="preserve">Review criteria used to evaluate and select proposals responding to the RFP. </w:t>
      </w:r>
      <w:r>
        <w:rPr>
          <w:rFonts w:ascii="Times New Roman" w:hAnsi="Times New Roman"/>
          <w:b w:val="false"/>
          <w:i w:val="false"/>
          <w:color w:val="000000"/>
          <w:sz w:val="22"/>
        </w:rPr>
        <w:t>The department will evaluate and select proposals submitted by operating organizations in response to the RFP based upon but not limited to the criteria as provided in the RFP.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w:t>
      </w:r>
      <w:r>
        <w:rPr>
          <w:rFonts w:ascii="Times New Roman" w:hAnsi="Times New Roman"/>
          <w:b w:val="false"/>
          <w:i w:val="false"/>
          <w:color w:val="000000"/>
          <w:sz w:val="22"/>
        </w:rPr>
        <w:t> </w:t>
      </w:r>
      <w:r>
        <w:rPr>
          <w:rFonts w:ascii="Times New Roman" w:hAnsi="Times New Roman"/>
          <w:b w:val="false"/>
          <w:i/>
          <w:color w:val="000000"/>
          <w:sz w:val="22"/>
        </w:rPr>
        <w:t xml:space="preserve">Other considerations and guidelines. </w:t>
      </w:r>
      <w:r>
        <w:rPr>
          <w:rFonts w:ascii="Times New Roman" w:hAnsi="Times New Roman"/>
          <w:b w:val="false"/>
          <w:i w:val="false"/>
          <w:color w:val="000000"/>
          <w:sz w:val="22"/>
        </w:rPr>
        <w:t>Other considerations and guidelines in implementing IDAs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the authority to designate and limit the number of locations where IDA projects will be implemented, taking into account demographic characteristics and geographic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require all IDA operating organizations and projects to comply with any federal individual development account program requirements for drawing federal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operating organization shall enter into an agreement that specifies the responsibilities of both parties. The agreement will incorporate by reference the provisions of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 shall maintain a clear and precise audit trail of all deposits and withdrawals of funds in IDAs. All withdrawals from an IDA shall require a signature of approval from the operating organization. Upon the termination of the agreement between the operating organization and the department or upon the discontinuance of the IDA program for any reason, the IDA accounts under the management of that operating organization shall terminate and the funds in the IDAs shall be distributed to the account holders unless the operating organization and a successor operating organization located in the same geographic area and operating an IDA program approved by the department enter into an agreement for the transfer of IDA accounts to the successor operating organization. The department shall have authority to review and approve in advance the agreement between the two operating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the termination of an operating organization’s relationship with the financial institution holding its IDA accounts, the operating organization managing the accounts shall enter into an agreement with a department-approved successor financial institution to hold the accounts and shall arrange for the transfer of the accounts to the new financial institution. The new agreement shall be subject to the department’s review and advance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 account holder moves within the state to a location that is not served by the operating organization but is served by another operating organization with a department-approved IDA program, the original operating organization shall arrange for the transfer of the account to a financial institution that has an agreement with the operating organization in the new location. If there is no operating organization in the new location, the IDA account shall be closed, with funds in the account distributed to the account holder; alternatively, the operating organization and the account holder may jointly agree to maintain the account under the management of the existing operating organization and financial institution. The operating organization shall provide a written notification to the department of all transfers of IDA accounts to the management of a new operating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