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441—64.2</w:t>
      </w:r>
      <w:r>
        <w:rPr>
          <w:rFonts w:ascii="Times New Roman" w:hAnsi="Times New Roman"/>
          <w:b/>
          <w:i w:val="false"/>
          <w:color w:val="000000"/>
          <w:sz w:val="22"/>
        </w:rPr>
        <w:t xml:space="preserve">(541A) </w:t>
      </w:r>
      <w:r>
        <w:rPr>
          <w:rFonts w:ascii="Times New Roman" w:hAnsi="Times New Roman"/>
          <w:b/>
          <w:i w:val="false"/>
          <w:color w:val="000000"/>
          <w:sz w:val="22"/>
        </w:rPr>
        <w:t xml:space="preserve">Establishment of individual development accounts. </w:t>
      </w:r>
      <w:r>
        <w:rPr>
          <w:rFonts w:ascii="Times New Roman" w:hAnsi="Times New Roman"/>
          <w:b w:val="false"/>
          <w:i w:val="false"/>
          <w:color w:val="000000"/>
          <w:sz w:val="22"/>
        </w:rPr>
        <w:t>An investment account qualifies as an IDA when it is established and operates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w:t>
      </w:r>
      <w:r>
        <w:rPr>
          <w:rFonts w:ascii="Times New Roman" w:hAnsi="Times New Roman"/>
          <w:b w:val="false"/>
          <w:i w:val="false"/>
          <w:color w:val="000000"/>
          <w:sz w:val="22"/>
        </w:rPr>
        <w:t> </w:t>
      </w:r>
      <w:r>
        <w:rPr>
          <w:rFonts w:ascii="Times New Roman" w:hAnsi="Times New Roman"/>
          <w:b w:val="false"/>
          <w:i/>
          <w:color w:val="000000"/>
          <w:sz w:val="22"/>
        </w:rPr>
        <w:t xml:space="preserve">Operating organization. </w:t>
      </w:r>
      <w:r>
        <w:rPr>
          <w:rFonts w:ascii="Times New Roman" w:hAnsi="Times New Roman"/>
          <w:b w:val="false"/>
          <w:i w:val="false"/>
          <w:color w:val="000000"/>
          <w:sz w:val="22"/>
        </w:rPr>
        <w:t>The investment account shall be established through an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64.2(2)</w:t>
      </w: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The account shall be opened at a financial institution and kept in the name of an individual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64.2(3)</w:t>
      </w:r>
      <w:r>
        <w:rPr>
          <w:rFonts w:ascii="Times New Roman" w:hAnsi="Times New Roman"/>
          <w:b w:val="false"/>
          <w:i w:val="false"/>
          <w:color w:val="000000"/>
          <w:sz w:val="22"/>
        </w:rPr>
        <w:t> </w:t>
      </w:r>
      <w:r>
        <w:rPr>
          <w:rFonts w:ascii="Times New Roman" w:hAnsi="Times New Roman"/>
          <w:b w:val="false"/>
          <w:i/>
          <w:color w:val="000000"/>
          <w:sz w:val="22"/>
        </w:rPr>
        <w:t xml:space="preserve">Deposits. </w:t>
      </w:r>
      <w:r>
        <w:rPr>
          <w:rFonts w:ascii="Times New Roman" w:hAnsi="Times New Roman"/>
          <w:b w:val="false"/>
          <w:i w:val="false"/>
          <w:color w:val="000000"/>
          <w:sz w:val="22"/>
        </w:rPr>
        <w:t xml:space="preserve">Deposits made to an IDA are also known as sources of principal and shall be made in any of the manners indicated in the definition of “source of principal” in rule </w:t>
      </w:r>
      <w:hyperlink r:id="rId4">
        <w:r>
          <w:rPr>
            <w:rStyle w:val="Hyperlink"/>
            <w:rFonts w:ascii="Times New Roman" w:hAnsi="Times New Roman"/>
            <w:b w:val="false"/>
            <w:i w:val="false"/>
            <w:color w:val="000000"/>
            <w:sz w:val="22"/>
          </w:rPr>
          <w:t>441—64.1</w:t>
        </w:r>
      </w:hyperlink>
      <w:r>
        <w:rPr>
          <w:rFonts w:ascii="Times New Roman" w:hAnsi="Times New Roman"/>
          <w:b w:val="false"/>
          <w:i w:val="false"/>
          <w:color w:val="000000"/>
          <w:sz w:val="22"/>
        </w:rPr>
        <w:t>(541A).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64.2(4)</w:t>
      </w:r>
      <w:r>
        <w:rPr>
          <w:rFonts w:ascii="Times New Roman" w:hAnsi="Times New Roman"/>
          <w:b w:val="false"/>
          <w:i w:val="false"/>
          <w:color w:val="000000"/>
          <w:sz w:val="22"/>
        </w:rPr>
        <w:t> </w:t>
      </w:r>
      <w:r>
        <w:rPr>
          <w:rFonts w:ascii="Times New Roman" w:hAnsi="Times New Roman"/>
          <w:b w:val="false"/>
          <w:i/>
          <w:color w:val="000000"/>
          <w:sz w:val="22"/>
        </w:rPr>
        <w:t xml:space="preserve">Investment of funds. </w:t>
      </w:r>
      <w:r>
        <w:rPr>
          <w:rFonts w:ascii="Times New Roman" w:hAnsi="Times New Roman"/>
          <w:b w:val="false"/>
          <w:i w:val="false"/>
          <w:color w:val="000000"/>
          <w:sz w:val="22"/>
        </w:rPr>
        <w:t>The funds deposited in the IDA may be invested in any investment that the financial institution is authorized to offer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64.2(5)</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account earns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64.2(6)</w:t>
      </w:r>
      <w:r>
        <w:rPr>
          <w:rFonts w:ascii="Times New Roman" w:hAnsi="Times New Roman"/>
          <w:b w:val="false"/>
          <w:i w:val="false"/>
          <w:color w:val="000000"/>
          <w:sz w:val="22"/>
        </w:rPr>
        <w:t> </w:t>
      </w:r>
      <w:r>
        <w:rPr>
          <w:rFonts w:ascii="Times New Roman" w:hAnsi="Times New Roman"/>
          <w:b w:val="false"/>
          <w:i/>
          <w:color w:val="000000"/>
          <w:sz w:val="22"/>
        </w:rPr>
        <w:t xml:space="preserve">Maximum deposits of principal. </w:t>
      </w:r>
      <w:r>
        <w:rPr>
          <w:rFonts w:ascii="Times New Roman" w:hAnsi="Times New Roman"/>
          <w:b w:val="false"/>
          <w:i w:val="false"/>
          <w:color w:val="000000"/>
          <w:sz w:val="22"/>
        </w:rPr>
        <w:t>The total of all sources of principal in an individual development account may not exceed $30,000.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64.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