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(216A,PL94-385,PL98-558)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Grievances and appeals.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LAA shall have grievance policies and procedures approved by the department for nonappealable items, including quality or extent of work performed.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Items that are appealable to the department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that have been denied for eligibility.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Weatherization work that is delayed or postponed for extenuating circumstances. The LAA must document the reasons for the delay of services and inform the client and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Quality or completeness of work, if the LAA has exhausted its grievance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LAA contractors and subcontractors that have exhausted the grievance process.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