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441—63.2</w:t>
      </w:r>
      <w:r>
        <w:rPr>
          <w:rFonts w:ascii="Times New Roman" w:hAnsi="Times New Roman"/>
          <w:b/>
          <w:i w:val="false"/>
          <w:color w:val="000000"/>
          <w:sz w:val="22"/>
        </w:rPr>
        <w:t xml:space="preserve">(216A,PL94-385,PL98-558) </w:t>
      </w:r>
      <w:r>
        <w:rPr>
          <w:rFonts w:ascii="Times New Roman" w:hAnsi="Times New Roman"/>
          <w:b/>
          <w:i w:val="false"/>
          <w:color w:val="000000"/>
          <w:sz w:val="22"/>
        </w:rPr>
        <w:t xml:space="preserve">Local administering agencies (LAAs).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w:t>
      </w:r>
      <w:r>
        <w:rPr>
          <w:rFonts w:ascii="Times New Roman" w:hAnsi="Times New Roman"/>
          <w:b w:val="false"/>
          <w:i w:val="false"/>
          <w:color w:val="000000"/>
          <w:sz w:val="22"/>
        </w:rPr>
        <w:t> </w:t>
      </w:r>
      <w:r>
        <w:rPr>
          <w:rFonts w:ascii="Times New Roman" w:hAnsi="Times New Roman"/>
          <w:b w:val="false"/>
          <w:i w:val="false"/>
          <w:color w:val="000000"/>
          <w:sz w:val="22"/>
        </w:rPr>
        <w:t>The department will administer the program by utilizing community action agencies (CAAs) or their approved subcontractors or other public or nonprofit entities that have shown the ability or have the capacity to undertake a timely and effective weatherization program. Program funds shall be used for the purchase and installation of weatherization materials, training and technical assistance, administration, and supportive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w:t>
      </w:r>
      <w:r>
        <w:rPr>
          <w:rFonts w:ascii="Times New Roman" w:hAnsi="Times New Roman"/>
          <w:b w:val="false"/>
          <w:i w:val="false"/>
          <w:color w:val="000000"/>
          <w:sz w:val="22"/>
        </w:rPr>
        <w:t> </w:t>
      </w:r>
      <w:r>
        <w:rPr>
          <w:rFonts w:ascii="Times New Roman" w:hAnsi="Times New Roman"/>
          <w:b w:val="false"/>
          <w:i w:val="false"/>
          <w:color w:val="000000"/>
          <w:sz w:val="22"/>
        </w:rPr>
        <w:t>LAAs will be required to sign a contractual agreement that specifies required and allowable program activities, including U.S. Department of Energy regulations, special conditions, participant forms, program and fiscal reporting, and audit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0498D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