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441—59.9</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Assurance 16 activities. </w:t>
      </w:r>
      <w:r>
        <w:rPr>
          <w:rFonts w:ascii="Times New Roman" w:hAnsi="Times New Roman"/>
          <w:b w:val="false"/>
          <w:i w:val="false"/>
          <w:color w:val="000000"/>
          <w:sz w:val="22"/>
        </w:rPr>
        <w:t>LIHEAP customer services that encourage and enable households to reduce their home energy needs, and thereby reduce their need for energy assistance, shall be provided as Assurance 16 activities as outlined in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