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441—59.5</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59.5(1)</w:t>
      </w:r>
      <w:r>
        <w:rPr>
          <w:rFonts w:ascii="Times New Roman" w:hAnsi="Times New Roman"/>
          <w:b w:val="false"/>
          <w:i w:val="false"/>
          <w:color w:val="000000"/>
          <w:sz w:val="22"/>
        </w:rPr>
        <w:t> </w:t>
      </w:r>
      <w:r>
        <w:rPr>
          <w:rFonts w:ascii="Times New Roman" w:hAnsi="Times New Roman"/>
          <w:b w:val="false"/>
          <w:i/>
          <w:color w:val="000000"/>
          <w:sz w:val="22"/>
        </w:rPr>
        <w:t xml:space="preserve">Types of payments. </w:t>
      </w:r>
      <w:r>
        <w:rPr>
          <w:rFonts w:ascii="Times New Roman" w:hAnsi="Times New Roman"/>
          <w:b w:val="false"/>
          <w:i w:val="false"/>
          <w:color w:val="000000"/>
          <w:sz w:val="22"/>
        </w:rPr>
        <w:t>The following types of energy assistance payments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Payments may be made to suppliers on behalf of eligible households. The client’s assistance shall remain as a credit on the client account until the program assistance is expended or the account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households that pay an undesignated portion of the rent toward energy costs will receive assistance sent directly to the secondary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payments may be made to eligible households as outlined in the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59.5(2)</w:t>
      </w:r>
      <w:r>
        <w:rPr>
          <w:rFonts w:ascii="Times New Roman" w:hAnsi="Times New Roman"/>
          <w:b w:val="false"/>
          <w:i w:val="false"/>
          <w:color w:val="000000"/>
          <w:sz w:val="22"/>
        </w:rPr>
        <w:t> </w:t>
      </w:r>
      <w:r>
        <w:rPr>
          <w:rFonts w:ascii="Times New Roman" w:hAnsi="Times New Roman"/>
          <w:b w:val="false"/>
          <w:i/>
          <w:color w:val="000000"/>
          <w:sz w:val="22"/>
        </w:rPr>
        <w:t xml:space="preserve">Duplicate and fraudulent payment control. </w:t>
      </w:r>
      <w:r>
        <w:rPr>
          <w:rFonts w:ascii="Times New Roman" w:hAnsi="Times New Roman"/>
          <w:b w:val="false"/>
          <w:i w:val="false"/>
          <w:color w:val="000000"/>
          <w:sz w:val="22"/>
        </w:rPr>
        <w:t>Each LAA is required to monitor, refer to the department, and prevent possible duplicate and other fraudulent applications and payments pursuant to the federal Office of Management and Budget guidance on the Payment Integrity Information Act of 2019 (PL 116-117) as amended to August 1, 2026, and the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