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441—59.3</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LAAs.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59.3(1)</w:t>
      </w:r>
      <w:r>
        <w:rPr>
          <w:rFonts w:ascii="Times New Roman" w:hAnsi="Times New Roman"/>
          <w:b w:val="false"/>
          <w:i w:val="false"/>
          <w:color w:val="000000"/>
          <w:sz w:val="22"/>
        </w:rPr>
        <w:t> </w:t>
      </w:r>
      <w:r>
        <w:rPr>
          <w:rFonts w:ascii="Times New Roman" w:hAnsi="Times New Roman"/>
          <w:b w:val="false"/>
          <w:i w:val="false"/>
          <w:color w:val="000000"/>
          <w:sz w:val="22"/>
        </w:rPr>
        <w:t>The department shall administer the LIHEAP program by contracting with LAAs that meet program and fiscal guidelines as required by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LAA will conduct outreach activities to ensure that eligible households are made aware of the program. In addition to its normal outreach functions, each LAA will authorize its workers to take applications in an applicant’s home and other locations specified in the manual. A notice of the appeal and hearing procedure pursuant to </w:t>
      </w:r>
      <w:hyperlink r:id="rId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must be posted at each intake site, and a copy of the appeal and hearing procedure and any other state-required handouts must be given to each client at the time of application or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