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441—59.2</w:t>
      </w:r>
      <w:r>
        <w:rPr>
          <w:rFonts w:ascii="Times New Roman" w:hAnsi="Times New Roman"/>
          <w:b/>
          <w:i w:val="false"/>
          <w:color w:val="000000"/>
          <w:sz w:val="22"/>
        </w:rPr>
        <w:t xml:space="preserve">(216A,PL97-35,PL98-558) </w:t>
      </w:r>
      <w:r>
        <w:rPr>
          <w:rFonts w:ascii="Times New Roman" w:hAnsi="Times New Roman"/>
          <w:b/>
          <w:i w:val="false"/>
          <w:color w:val="000000"/>
          <w:sz w:val="22"/>
        </w:rPr>
        <w:t xml:space="preserve">Household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59.2(1)</w:t>
      </w:r>
      <w:r>
        <w:rPr>
          <w:rFonts w:ascii="Times New Roman" w:hAnsi="Times New Roman"/>
          <w:b w:val="false"/>
          <w:i w:val="false"/>
          <w:color w:val="000000"/>
          <w:sz w:val="22"/>
        </w:rPr>
        <w:t> </w:t>
      </w:r>
      <w:r>
        <w:rPr>
          <w:rFonts w:ascii="Times New Roman" w:hAnsi="Times New Roman"/>
          <w:b w:val="false"/>
          <w:i w:val="false"/>
          <w:color w:val="000000"/>
          <w:sz w:val="22"/>
        </w:rPr>
        <w:t>Households with incomes at or below the annually determined federal poverty guidelines, but not to exceed 150 percent of the guidelines, or an amount equal to 60 percent of the state median income for the state, according to DHHS, that are published annually in the Federal Register, may be eligible for assistance under LIHEAP. To receive benefits, an application must be made, eligibility must be determined, and program funds must be available before any payments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59.2(2)</w:t>
      </w:r>
      <w:r>
        <w:rPr>
          <w:rFonts w:ascii="Times New Roman" w:hAnsi="Times New Roman"/>
          <w:b w:val="false"/>
          <w:i w:val="false"/>
          <w:color w:val="000000"/>
          <w:sz w:val="22"/>
        </w:rPr>
        <w:t> </w:t>
      </w:r>
      <w:r>
        <w:rPr>
          <w:rFonts w:ascii="Times New Roman" w:hAnsi="Times New Roman"/>
          <w:b w:val="false"/>
          <w:i w:val="false"/>
          <w:color w:val="000000"/>
          <w:sz w:val="22"/>
        </w:rPr>
        <w:t>Proof of income eligibility is required as outlined in the manual. Any individual listed on a LIHEAP-approved application for the current fiscal year will not be listed on another application unless an exception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59.2(3)</w:t>
      </w:r>
      <w:r>
        <w:rPr>
          <w:rFonts w:ascii="Times New Roman" w:hAnsi="Times New Roman"/>
          <w:b w:val="false"/>
          <w:i w:val="false"/>
          <w:color w:val="000000"/>
          <w:sz w:val="22"/>
        </w:rPr>
        <w:t> </w:t>
      </w:r>
      <w:r>
        <w:rPr>
          <w:rFonts w:ascii="Times New Roman" w:hAnsi="Times New Roman"/>
          <w:b w:val="false"/>
          <w:i w:val="false"/>
          <w:color w:val="000000"/>
          <w:sz w:val="22"/>
        </w:rPr>
        <w:t>Income criteria and guidelines are contained in the state plan and the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households applying for assistance under LIHEAP will simultaneously be making application for weatherization assistance, and </w:t>
      </w:r>
      <w:hyperlink r:id="rId4">
        <w:r>
          <w:rPr>
            <w:rStyle w:val="Hyperlink"/>
            <w:rFonts w:ascii="Times New Roman" w:hAnsi="Times New Roman"/>
            <w:b w:val="false"/>
            <w:i w:val="false"/>
            <w:color w:val="000000"/>
            <w:sz w:val="22"/>
          </w:rPr>
          <w:t>441—Chapter 63</w:t>
        </w:r>
      </w:hyperlink>
      <w:r>
        <w:rPr>
          <w:rFonts w:ascii="Times New Roman" w:hAnsi="Times New Roman"/>
          <w:b w:val="false"/>
          <w:i w:val="false"/>
          <w:color w:val="000000"/>
          <w:sz w:val="22"/>
        </w:rPr>
        <w:t xml:space="preserve"> will govern weatherization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0497D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6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