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441—59.11</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state plan, the manual, and assistance award criteria for the program are incorporated by reference as part of these rules. If any rule in this chapter conflicts with federal law or rule,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