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441—58.9</w:t>
      </w:r>
      <w:r>
        <w:rPr>
          <w:rFonts w:ascii="Times New Roman" w:hAnsi="Times New Roman"/>
          <w:b/>
          <w:i w:val="false"/>
          <w:color w:val="000000"/>
          <w:sz w:val="22"/>
        </w:rPr>
        <w:t xml:space="preserve">(216A) </w:t>
      </w:r>
      <w:r>
        <w:rPr>
          <w:rFonts w:ascii="Times New Roman" w:hAnsi="Times New Roman"/>
          <w:b/>
          <w:i w:val="false"/>
          <w:color w:val="000000"/>
          <w:sz w:val="22"/>
        </w:rPr>
        <w:t xml:space="preserve">Audits and records. </w:t>
      </w:r>
      <w:r>
        <w:rPr>
          <w:rFonts w:ascii="Times New Roman" w:hAnsi="Times New Roman"/>
          <w:b w:val="false"/>
          <w:i w:val="false"/>
          <w:color w:val="000000"/>
          <w:sz w:val="22"/>
        </w:rPr>
        <w:t>Eligible entities shall arrange and pay for an annual audit. Audits shall be performed by a certified public accountant and in accordance with generally accepted auditing standards. Audit procedures shall conform to 2 CFR Chapter I, Office of Management and Budget Governmentwide Guidance for Grants and Agreements as amended to August 1, 2026, and Chapter II, Part 200, et al., Uniform Administrative Requirements, Cost Principles, and Audit Requirements for Federal Awards as amended to August 1, 2026. In addition, the department may request more frequent audits or examinations of financial records of the eligible entity in order to ensure adequate financial controls are in place and operating.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