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441—58.8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(216A,PL97-35)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Ineligible items.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CSBG funds cannot be used for the following activities or costs: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58.8(1)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partisan or nonpartisan political activity or any political activity associated with a candidate, or faction group, in an election for public or party office; any activity to provide voters or prospective voters with transportation to the polls or similar assistance in connection with any such election; or any voter registration activity.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58.8(2)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purchase or improvement of land, or the purchase, construction, or permanent improvement (other than low-cost residential weatherization or other energy-related home repairs) of any building or other facility. Exceptions shall only be provided through the waiver procedure described in Section 678F(a) of the CSBG Act.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0496D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