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441—58.7</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Review and acceptance of community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58.7(1)</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All activities proposed in the community action plan will be reviewed by the department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specific purposes and uses of funds outlined in rules </w:t>
      </w:r>
      <w:hyperlink r:id="rId4">
        <w:r>
          <w:rPr>
            <w:rStyle w:val="Hyperlink"/>
            <w:rFonts w:ascii="Times New Roman" w:hAnsi="Times New Roman"/>
            <w:b w:val="false"/>
            <w:i w:val="false"/>
            <w:color w:val="000000"/>
            <w:sz w:val="22"/>
          </w:rPr>
          <w:t>441—58.2</w:t>
        </w:r>
      </w:hyperlink>
      <w:r>
        <w:rPr>
          <w:rFonts w:ascii="Times New Roman" w:hAnsi="Times New Roman"/>
          <w:b w:val="false"/>
          <w:i w:val="false"/>
          <w:color w:val="000000"/>
          <w:sz w:val="22"/>
        </w:rPr>
        <w:t xml:space="preserve">(216A,PL97-35) and </w:t>
      </w:r>
      <w:hyperlink r:id="rId5">
        <w:r>
          <w:rPr>
            <w:rStyle w:val="Hyperlink"/>
            <w:rFonts w:ascii="Times New Roman" w:hAnsi="Times New Roman"/>
            <w:b w:val="false"/>
            <w:i w:val="false"/>
            <w:color w:val="000000"/>
            <w:sz w:val="22"/>
          </w:rPr>
          <w:t>441—58.3</w:t>
        </w:r>
      </w:hyperlink>
      <w:r>
        <w:rPr>
          <w:rFonts w:ascii="Times New Roman" w:hAnsi="Times New Roman"/>
          <w:b w:val="false"/>
          <w:i w:val="false"/>
          <w:color w:val="000000"/>
          <w:sz w:val="22"/>
        </w:rPr>
        <w:t>(216A,PL97-35);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assurances that the eligible entity will conduct the CSBG in compliance with all applicable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Inclusion and proper completion of all forms and instructions included in the request for community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58.7(2)</w:t>
      </w:r>
      <w:r>
        <w:rPr>
          <w:rFonts w:ascii="Times New Roman" w:hAnsi="Times New Roman"/>
          <w:b w:val="false"/>
          <w:i w:val="false"/>
          <w:color w:val="000000"/>
          <w:sz w:val="22"/>
        </w:rPr>
        <w:t> </w:t>
      </w:r>
      <w:r>
        <w:rPr>
          <w:rFonts w:ascii="Times New Roman" w:hAnsi="Times New Roman"/>
          <w:b w:val="false"/>
          <w:i/>
          <w:color w:val="000000"/>
          <w:sz w:val="22"/>
        </w:rPr>
        <w:t xml:space="preserve">Performance. </w:t>
      </w:r>
      <w:r>
        <w:rPr>
          <w:rFonts w:ascii="Times New Roman" w:hAnsi="Times New Roman"/>
          <w:b w:val="false"/>
          <w:i w:val="false"/>
          <w:color w:val="000000"/>
          <w:sz w:val="22"/>
        </w:rPr>
        <w:t>Acceptance of community action plans is dependent on the satisfactory performance of the eligible entity in the past funding year(s). Additionally, available records, audits, and determinations from other relevant state and federal agencies may be utilized.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58.2.pdf" Type="http://schemas.openxmlformats.org/officeDocument/2006/relationships/hyperlink" Id="rId4"/>
    <Relationship TargetMode="External" Target="https://www.legis.iowa.gov/docs/iac/rule/441.58.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