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441—58.6</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Community action plan. </w:t>
      </w:r>
      <w:r>
        <w:rPr>
          <w:rFonts w:ascii="Times New Roman" w:hAnsi="Times New Roman"/>
          <w:b w:val="false"/>
          <w:i w:val="false"/>
          <w:color w:val="000000"/>
          <w:sz w:val="22"/>
        </w:rPr>
        <w:t>All eligible entities shall submit a community action plan for the purpose of applying for CSBG funds. Community action plans must be outcome-based and antipoverty-focused and tie directly to the eligible entity’s community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 xml:space="preserve">Eligible entities shall be informed in writing by the department of the due date for the community action plan and the amount of the eligible entities’ allocation in accordance with subrule </w:t>
      </w:r>
      <w:hyperlink r:id="rId4">
        <w:r>
          <w:rPr>
            <w:rStyle w:val="Hyperlink"/>
            <w:rFonts w:ascii="Times New Roman" w:hAnsi="Times New Roman"/>
            <w:b w:val="false"/>
            <w:i w:val="false"/>
            <w:color w:val="000000"/>
            <w:sz w:val="22"/>
          </w:rPr>
          <w:t>58.4(2)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department will provide instructions for preparing the community action plan to all eligible entities. In addition to other information specified in the instructions, the community action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 the continuous use of the full federal model for the Results Oriented Management and Accountability cycle of assessment, planning, implementation, achievement of results, and evaluation for planning and administering the CSBG;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budget that equals the amount of the eligible entity’s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the service delivery system targeted to low-income individuals and families 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how linkages will be developed to fill identified gaps in the services through the provision of information, referrals, case management, and follow-up consultations;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how CSBG funds will be coordinated with other public and private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description of how CSBG funds will be used to support innovative community and neighborhood-based initiatives related to the purposes in rule </w:t>
      </w:r>
      <w:hyperlink r:id="rId5">
        <w:r>
          <w:rPr>
            <w:rStyle w:val="Hyperlink"/>
            <w:rFonts w:ascii="Times New Roman" w:hAnsi="Times New Roman"/>
            <w:b w:val="false"/>
            <w:i w:val="false"/>
            <w:color w:val="000000"/>
            <w:sz w:val="22"/>
          </w:rPr>
          <w:t>441—58.2</w:t>
        </w:r>
      </w:hyperlink>
      <w:r>
        <w:rPr>
          <w:rFonts w:ascii="Times New Roman" w:hAnsi="Times New Roman"/>
          <w:b w:val="false"/>
          <w:i w:val="false"/>
          <w:color w:val="000000"/>
          <w:sz w:val="22"/>
        </w:rPr>
        <w:t>(216A,PL97-35);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outcome measures to be used to measure eligible entity performance in promoting self-sufficiency, family stability, and community revitalization.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58.6(3)</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provisions. </w:t>
      </w:r>
      <w:r>
        <w:rPr>
          <w:rFonts w:ascii="Times New Roman" w:hAnsi="Times New Roman"/>
          <w:b w:val="false"/>
          <w:i w:val="false"/>
          <w:color w:val="000000"/>
          <w:sz w:val="22"/>
        </w:rPr>
        <w:t>Eligible entities must ensure that no person shall, on the basis of race, color, national origin, sex, age, or disability, be excluded from participation in, be denied the benefits of, or be subjected to discrimination under any activity funded in whole or in part with CSBG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58.6(4)</w:t>
      </w:r>
      <w:r>
        <w:rPr>
          <w:rFonts w:ascii="Times New Roman" w:hAnsi="Times New Roman"/>
          <w:b w:val="false"/>
          <w:i w:val="false"/>
          <w:color w:val="000000"/>
          <w:sz w:val="22"/>
        </w:rPr>
        <w:t> </w:t>
      </w:r>
      <w:r>
        <w:rPr>
          <w:rFonts w:ascii="Times New Roman" w:hAnsi="Times New Roman"/>
          <w:b w:val="false"/>
          <w:i/>
          <w:color w:val="000000"/>
          <w:sz w:val="22"/>
        </w:rPr>
        <w:t xml:space="preserve">Community assessment. </w:t>
      </w:r>
      <w:r>
        <w:rPr>
          <w:rFonts w:ascii="Times New Roman" w:hAnsi="Times New Roman"/>
          <w:b w:val="false"/>
          <w:i w:val="false"/>
          <w:color w:val="000000"/>
          <w:sz w:val="22"/>
        </w:rPr>
        <w:t>Eligible entities must conduct a community assessment at least once every three years. The community assessment shall include data specific to poverty, qualitative and quantitative data, and key findings on the causes and conditions of poverty and the needs of the communities assessed. The results of the assessment shall be used to plan activities contained in the community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58.6(5)</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department will issue the eligible entity a CSBG contract once the department accepts the community action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58.4.pdf" Type="http://schemas.openxmlformats.org/officeDocument/2006/relationships/hyperlink" Id="rId4"/>
    <Relationship TargetMode="External" Target="https://www.legis.iowa.gov/docs/iac/rule/441.58.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