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441—58.12</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Client grievance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58.12(1)</w:t>
      </w:r>
      <w:r>
        <w:rPr>
          <w:rFonts w:ascii="Times New Roman" w:hAnsi="Times New Roman"/>
          <w:b w:val="false"/>
          <w:i w:val="false"/>
          <w:color w:val="000000"/>
          <w:sz w:val="22"/>
        </w:rPr>
        <w:t> </w:t>
      </w:r>
      <w:r>
        <w:rPr>
          <w:rFonts w:ascii="Times New Roman" w:hAnsi="Times New Roman"/>
          <w:b w:val="false"/>
          <w:i w:val="false"/>
          <w:color w:val="000000"/>
          <w:sz w:val="22"/>
        </w:rPr>
        <w:t>Eligible entities shall adopt client grievance procedures to address CSBG client complaints. The grievance procedures must be approved by the department. The procedures shall be used for all clients to file a complaint for nonappealable items. If complaints are unable to be resolved, the eligible entity shall forward the issue to the department for assistance with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handle client appeals pursuant to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Items that are appealable are denial of eligibility, services, or benefits when services are solely CSBG-funded assistance or for services provided through co-funded programs where there is no other dispute resolution avenue.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