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441—58.11</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Termination and reduction of funding. </w:t>
      </w:r>
      <w:r>
        <w:rPr>
          <w:rFonts w:ascii="Times New Roman" w:hAnsi="Times New Roman"/>
          <w:b w:val="false"/>
          <w:i w:val="false"/>
          <w:color w:val="000000"/>
          <w:sz w:val="22"/>
        </w:rPr>
        <w:t xml:space="preserve">The department may terminate the designation of or reduce the share of CSBG funds allocated to an eligible entity if the department determines that an eligible entity fails to comply with the terms of an agreement, or the Iowa CSBG State Plan as amended to August 1, 2026, to provide CSBG services or to meet appropriate standards, goals, and other requirements established by the department, including performance objectives. If the department finds cause to terminate the designation of or reduce the funding of an eligible entity, the department will adhere to the requirements in Section 678C of the CSBG Act, U.S. Department of Health and Human Services statutory guidance, and other federal and state laws, including provisions of notification, technical assistance, corrective action, opportunity for a hearing under </w:t>
      </w:r>
      <w:hyperlink r:id="rId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and federal review, to initiate proceedings to terminate the designation of or reduce the funding of the eligible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