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441—58.1</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unless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“Community action agency”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“eligible entity”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organization that was officially recognized as a community action agency under the provisions of Section 673(1) of the CSBG Act and Iowa Code sections </w:t>
      </w:r>
      <w:hyperlink r:id="rId4">
        <w:r>
          <w:rPr>
            <w:rStyle w:val="Hyperlink"/>
            <w:rFonts w:ascii="Times New Roman" w:hAnsi="Times New Roman"/>
            <w:b w:val="false"/>
            <w:i w:val="false"/>
            <w:color w:val="000000"/>
            <w:sz w:val="22"/>
          </w:rPr>
          <w:t>216A.91</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“CSBG”</w:t>
      </w:r>
      <w:r>
        <w:rPr>
          <w:rFonts w:ascii="Times New Roman" w:hAnsi="Times New Roman"/>
          <w:b w:val="false"/>
          <w:i w:val="false"/>
          <w:color w:val="000000"/>
          <w:sz w:val="22"/>
        </w:rPr>
        <w:t> </w:t>
      </w:r>
      <w:r>
        <w:rPr>
          <w:rFonts w:ascii="Times New Roman" w:hAnsi="Times New Roman"/>
          <w:b w:val="false"/>
          <w:i w:val="false"/>
          <w:color w:val="000000"/>
          <w:sz w:val="22"/>
        </w:rPr>
        <w:t>means community services block grant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“CSBG Act”</w:t>
      </w:r>
      <w:r>
        <w:rPr>
          <w:rFonts w:ascii="Times New Roman" w:hAnsi="Times New Roman"/>
          <w:b w:val="false"/>
          <w:i w:val="false"/>
          <w:color w:val="000000"/>
          <w:sz w:val="22"/>
        </w:rPr>
        <w:t> </w:t>
      </w:r>
      <w:r>
        <w:rPr>
          <w:rFonts w:ascii="Times New Roman" w:hAnsi="Times New Roman"/>
          <w:b w:val="false"/>
          <w:i w:val="false"/>
          <w:color w:val="000000"/>
          <w:sz w:val="22"/>
        </w:rPr>
        <w:t>means the Omnibus Budget Reconciliation Act of 1981, PL 97-35, Title VI, Subtitle B, as amended to August 1, 2026. All references to the CSBG Act herein are as amended to August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 year”</w:t>
      </w:r>
      <w:r>
        <w:rPr>
          <w:rFonts w:ascii="Times New Roman" w:hAnsi="Times New Roman"/>
          <w:b w:val="false"/>
          <w:i w:val="false"/>
          <w:color w:val="000000"/>
          <w:sz w:val="22"/>
        </w:rPr>
        <w:t> </w:t>
      </w:r>
      <w:r>
        <w:rPr>
          <w:rFonts w:ascii="Times New Roman" w:hAnsi="Times New Roman"/>
          <w:b w:val="false"/>
          <w:i w:val="false"/>
          <w:color w:val="000000"/>
          <w:sz w:val="22"/>
        </w:rPr>
        <w:t>means the year beginning October 1 and ending the succeeding September 30. The program year is numbered for that year in which it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“Reduction”</w:t>
      </w:r>
      <w:r>
        <w:rPr>
          <w:rFonts w:ascii="Times New Roman" w:hAnsi="Times New Roman"/>
          <w:b w:val="false"/>
          <w:i w:val="false"/>
          <w:color w:val="000000"/>
          <w:sz w:val="22"/>
        </w:rPr>
        <w:t> </w:t>
      </w:r>
      <w:r>
        <w:rPr>
          <w:rFonts w:ascii="Times New Roman" w:hAnsi="Times New Roman"/>
          <w:b w:val="false"/>
          <w:i w:val="false"/>
          <w:color w:val="000000"/>
          <w:sz w:val="22"/>
        </w:rPr>
        <w:t>means funding reduced below the proportional share of funding the eligible entity received in the previous program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“Termination”</w:t>
      </w:r>
      <w:r>
        <w:rPr>
          <w:rFonts w:ascii="Times New Roman" w:hAnsi="Times New Roman"/>
          <w:b w:val="false"/>
          <w:i w:val="false"/>
          <w:color w:val="000000"/>
          <w:sz w:val="22"/>
        </w:rPr>
        <w:t> </w:t>
      </w:r>
      <w:r>
        <w:rPr>
          <w:rFonts w:ascii="Times New Roman" w:hAnsi="Times New Roman"/>
          <w:b w:val="false"/>
          <w:i w:val="false"/>
          <w:color w:val="000000"/>
          <w:sz w:val="22"/>
        </w:rPr>
        <w:t>means permanent withdrawal of the eligible entity’s authority to obligate funds before that authority would otherwise expire. If an eligible entity’s authority to obligate funds is terminated, no funds may be obligated by the eligible entity after the effective date of the termination.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0496D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16A.91.pdf" Type="http://schemas.openxmlformats.org/officeDocument/2006/relationships/hyperlink" Id="rId4"/>
    <Relationship TargetMode="External" Target="https://www.legis.iowa.gov/docs/ico/chapter/216A.93.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