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441—133.3</w:t>
      </w:r>
      <w:r>
        <w:rPr>
          <w:rFonts w:ascii="Times New Roman" w:hAnsi="Times New Roman"/>
          <w:b/>
          <w:i w:val="false"/>
          <w:color w:val="000000"/>
          <w:sz w:val="22"/>
        </w:rPr>
        <w:t xml:space="preserve">(235)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emergency assistance, the family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color w:val="000000"/>
          <w:sz w:val="22"/>
        </w:rPr>
        <w:t xml:space="preserve">Existence of an emergency. </w:t>
      </w:r>
      <w:r>
        <w:rPr>
          <w:rFonts w:ascii="Times New Roman" w:hAnsi="Times New Roman"/>
          <w:b w:val="false"/>
          <w:i w:val="false"/>
          <w:color w:val="000000"/>
          <w:sz w:val="22"/>
        </w:rPr>
        <w:t>An emergency situation shall exist. An emergency exists when one of the following situations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Abuse, neglect, or abandonment of a child, or risk of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are in imminent danger where continued presence in the home is not in the best interest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the home or are at risk of removal from the home because of abuse; neglect, which may include homelessness; or inability of parents to provide needed care or treatment or to control the behavior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color w:val="000000"/>
          <w:sz w:val="22"/>
        </w:rPr>
        <w:t xml:space="preserve">No refusal to accept employment or training. </w:t>
      </w:r>
      <w:r>
        <w:rPr>
          <w:rFonts w:ascii="Times New Roman" w:hAnsi="Times New Roman"/>
          <w:b w:val="false"/>
          <w:i w:val="false"/>
          <w:color w:val="000000"/>
          <w:sz w:val="22"/>
        </w:rPr>
        <w:t>The emergency situation did not arise out of an applicant’s or applicant’s family’s refusal without good cause to accept employment or training for employment within 30 days of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The child is living, or within six months prior to the month in which assistance is requested has been living, with a specified relative. “Relative” includes people related by blood, marriage, or adoption. The child may be considered as meeting the requirement of living with a specified relative if the child’s home is with one of the following or with a spouse of one of the following even though the marriage is terminated by death or divorce: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Father—adoptive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Mother—adoptive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Grandfather—grandfather-in-law, meaning the subsequent husband of the child’s natural grandmother, i.e., stepgrandfather—adoptive grandfather.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Grandmother—grandmother-in-law, meaning the subsequent wife of the child’s natural grandfather, i.e., stepgrandmother—adoptive grandmother.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Great-grandfather—great-great-grandfather.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Great-grandmother—great-great-grandmother.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Stepfather, but not his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Stepmother, but not her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Brother—brother-of-half-blood—stepbrother—brother-in-law—adoptive brother.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Sister—sister-of-half-blood—stepsister—sister-in-law—adoptive sister.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Uncle—aunt, of whole or half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Uncle-in-law—aunt-in-law.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Great uncle—great-great-uncle.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Great aunt—great-great-aunt.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First cousins—nephews—nieces.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Second cousins, meaning the son or daughter of one’s parent’s first cousin.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color w:val="000000"/>
          <w:sz w:val="22"/>
        </w:rPr>
        <w:t xml:space="preserve">Service need. </w:t>
      </w:r>
      <w:r>
        <w:rPr>
          <w:rFonts w:ascii="Times New Roman" w:hAnsi="Times New Roman"/>
          <w:b w:val="false"/>
          <w:i w:val="false"/>
          <w:color w:val="000000"/>
          <w:sz w:val="22"/>
        </w:rPr>
        <w:t>The applicant must demonstrate a need for one or more of the emergency assistance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Family-centered services as established in </w:t>
      </w:r>
      <w:hyperlink r:id="rId4">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care as established in rule </w:t>
      </w:r>
      <w:hyperlink r:id="rId5">
        <w:r>
          <w:rPr>
            <w:rStyle w:val="Hyperlink"/>
            <w:rFonts w:ascii="Times New Roman" w:hAnsi="Times New Roman"/>
            <w:b w:val="false"/>
            <w:i w:val="false"/>
            <w:color w:val="000000"/>
            <w:sz w:val="22"/>
          </w:rPr>
          <w:t>441—202.2</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Protective child care as established in </w:t>
      </w:r>
      <w:hyperlink r:id="rId6">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133.3(5)</w:t>
      </w:r>
      <w:r>
        <w:rPr>
          <w:rFonts w:ascii="Times New Roman" w:hAnsi="Times New Roman"/>
          <w:b w:val="false"/>
          <w:i w:val="false"/>
          <w:color w:val="000000"/>
          <w:sz w:val="22"/>
        </w:rPr>
        <w:t> </w:t>
      </w:r>
      <w:r>
        <w:rPr>
          <w:rFonts w:ascii="Times New Roman" w:hAnsi="Times New Roman"/>
          <w:b w:val="false"/>
          <w:i/>
          <w:color w:val="000000"/>
          <w:sz w:val="22"/>
        </w:rPr>
        <w:t xml:space="preserve">Receipt of assistance. </w:t>
      </w:r>
      <w:r>
        <w:rPr>
          <w:rFonts w:ascii="Times New Roman" w:hAnsi="Times New Roman"/>
          <w:b w:val="false"/>
          <w:i w:val="false"/>
          <w:color w:val="000000"/>
          <w:sz w:val="22"/>
        </w:rPr>
        <w:t>An application for IV-A emergency assistance was not previously approved within 12 months of the current application for IV-A emergency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133.3(6)</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The applicant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receiving family investment program (FIP), supplemental security income (SSI), Supplemental Nutrition Assistance Program (SNAP) benefits, or Medicaid in the month of the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have money to provide needed emergency care or services as evidenced by the applicant family’s income not exceeding 800 percent of the poverty guidelines established by the federal Office of Management and Budget.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172.pdf" Type="http://schemas.openxmlformats.org/officeDocument/2006/relationships/hyperlink" Id="rId4"/>
    <Relationship TargetMode="External" Target="https://www.legis.iowa.gov/docs/iac/rule/441.202.2.pdf" Type="http://schemas.openxmlformats.org/officeDocument/2006/relationships/hyperlink" Id="rId5"/>
    <Relationship TargetMode="External" Target="https://www.legis.iowa.gov/docs/iac/rule/441.170.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