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441—133.2</w:t>
      </w:r>
      <w:r>
        <w:rPr>
          <w:rFonts w:ascii="Times New Roman" w:hAnsi="Times New Roman"/>
          <w:b/>
          <w:i w:val="false"/>
          <w:color w:val="000000"/>
          <w:sz w:val="22"/>
        </w:rPr>
        <w:t xml:space="preserve">(235) </w:t>
      </w:r>
      <w:r>
        <w:rPr>
          <w:rFonts w:ascii="Times New Roman" w:hAnsi="Times New Roman"/>
          <w:b/>
          <w:i w:val="false"/>
          <w:color w:val="000000"/>
          <w:sz w:val="22"/>
        </w:rPr>
        <w:t xml:space="preserve">Application. </w:t>
      </w:r>
      <w:r>
        <w:rPr>
          <w:rFonts w:ascii="Times New Roman" w:hAnsi="Times New Roman"/>
          <w:b w:val="false"/>
          <w:i w:val="false"/>
          <w:color w:val="000000"/>
          <w:sz w:val="22"/>
        </w:rPr>
        <w:t>An application for emergency assistance shall be made on a form prescribed by the department. An application shall be completed any time a decision is made to provide emergency assistance or when an adult family member requests emergency assistance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133.2(1)</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by a parent, except where both parents are absent or unwilling to apply on behalf of a child who meets all other eligibility conditions, in which case another adult member of the family with whom the child resides or has resided within the past six months acting on behalf of the child may file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made on behalf of a child for whom the department has legal custody, the department may sign the application on behalf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