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281—14.9</w:t>
      </w:r>
      <w:r>
        <w:rPr>
          <w:rFonts w:ascii="Times New Roman" w:hAnsi="Times New Roman"/>
          <w:b/>
          <w:i w:val="false"/>
          <w:color w:val="000000"/>
          <w:sz w:val="22"/>
        </w:rPr>
        <w:t xml:space="preserve">(279) </w:t>
      </w:r>
      <w:r>
        <w:rPr>
          <w:rFonts w:ascii="Times New Roman" w:hAnsi="Times New Roman"/>
          <w:b/>
          <w:i w:val="false"/>
          <w:color w:val="000000"/>
          <w:sz w:val="22"/>
        </w:rPr>
        <w:t xml:space="preserve">Required parent/guardian notifications and responses.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a classroom clear is used to prevent an imminent threat, the following notifications and actions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principal will, by the end of the school day if possible, but at least within 24 hours after the incident, notify the parents/guardians of all students assigned to the classroom that it was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will not identify, directly or indirectly, any students involved in the incident giving rise to the classroom clearance.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will request that the parent/guardian of the student whose behavior caused the classroom clear meet with the principal, the classroom teacher, and other staff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 xml:space="preserve">When a student with a disability whose behavior caused a classroom clear and has an individualized education program (IEP) or a behavioral intervention plan (BIP), the classroom teacher will call for and be included in a review and potential revision of the student’s IEP or BIP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are to provide those services if those services are necessary for a free appropriate public education, pursuant to </w:t>
      </w:r>
      <w:hyperlink r:id="rId4">
        <w:r>
          <w:rPr>
            <w:rStyle w:val="Hyperlink"/>
            <w:rFonts w:ascii="Times New Roman" w:hAnsi="Times New Roman"/>
            <w:b w:val="false"/>
            <w:i w:val="false"/>
            <w:color w:val="000000"/>
            <w:sz w:val="22"/>
          </w:rPr>
          <w:t>281—subrule 41.320(7)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Students without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does not have an IEP or a BIP, the meeting will include an intervention plan that reduces the likelihood of the recurrence of behaviors requiring a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has a BIP but does not have an IEP, the classroom teacher will call for and be included in a review and potential revision of the student’s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suspects the student whose behavior resulted in a classroom clear might be eligible for a BIP, individual health plan (IHP), safety plan, or IEP, the public agencies shall promptly determine the child’s eligibility in accordance with the procedures required for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Parent input. </w:t>
      </w:r>
      <w:r>
        <w:rPr>
          <w:rFonts w:ascii="Times New Roman" w:hAnsi="Times New Roman"/>
          <w:b w:val="false"/>
          <w:i w:val="false"/>
          <w:color w:val="000000"/>
          <w:sz w:val="22"/>
        </w:rPr>
        <w:t>The team is to consider parent input in identifying supports to address behaviors that caused the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student with an IEP chooses not to participate in the meeting, the school will follow procedures to document efforts to invite the parent, as required by rule </w:t>
      </w:r>
      <w:hyperlink r:id="rId5">
        <w:r>
          <w:rPr>
            <w:rStyle w:val="Hyperlink"/>
            <w:rFonts w:ascii="Times New Roman" w:hAnsi="Times New Roman"/>
            <w:b w:val="false"/>
            <w:i w:val="false"/>
            <w:color w:val="000000"/>
            <w:sz w:val="22"/>
          </w:rPr>
          <w:t>281—41.322</w:t>
        </w:r>
      </w:hyperlink>
      <w:r>
        <w:rPr>
          <w:rFonts w:ascii="Times New Roman" w:hAnsi="Times New Roman"/>
          <w:b w:val="false"/>
          <w:i w:val="false"/>
          <w:color w:val="000000"/>
          <w:sz w:val="22"/>
        </w:rPr>
        <w:t xml:space="preserve">(256B,34CFR300), and inform the parent of proposed changes to the IEP or BIP, or both, pursuant to rule </w:t>
      </w:r>
      <w:hyperlink r:id="rId6">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of a student without an IEP chooses not to participate in the meeting, the school will continue to support the student’s needs by planning and providing intervention for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provisions. </w:t>
      </w:r>
      <w:r>
        <w:rPr>
          <w:rFonts w:ascii="Times New Roman" w:hAnsi="Times New Roman"/>
          <w:b w:val="false"/>
          <w:i w:val="false"/>
          <w:color w:val="000000"/>
          <w:sz w:val="22"/>
        </w:rPr>
        <w:t>When calling for a meeting, the classroom teacher may be required to follow procedures established by the school district or AEA to request such a meeting. Any recommended change to a student’s behavior intervention plan, individual health plan, safety plan, or educational placement is to be made in accordance with the procedures required for amending said plan or changing said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41.320.pdf" Type="http://schemas.openxmlformats.org/officeDocument/2006/relationships/hyperlink" Id="rId4"/>
    <Relationship TargetMode="External" Target="https://www.legis.iowa.gov/docs/iac/rule/281.41.322.pdf" Type="http://schemas.openxmlformats.org/officeDocument/2006/relationships/hyperlink" Id="rId5"/>
    <Relationship TargetMode="External" Target="https://www.legis.iowa.gov/docs/iac/rule/281.41.50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