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281—14.8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Classroom clears.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classroom teacher may clear students from the classroom only if necessary to prevent or terminate an imminent threat of bodily injury to a student or another person in the classroom. A threat is imminent when it is reasonably likely to inflict pain, illness, or any other impairment of physical condition.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classroom clear means clearing all other students out of the classroom to calm a child. A classroom clear in which an adult remains with a student to calm the student is not considered seclusion.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limitations on use of classroom clears pertains to all classrooms, general and special education, ages 3 through 21, when a child is served in a setting that is using public funds for educational purposes.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14.8(4)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a classroom clear is included within a school’s or district’s crisis response plan, the school or district will also follow the additional provisions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279.51A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this division.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14.8(5)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determining if a classroom clear may be used to prevent or terminate an imminent threat, the following factors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size and physical, mental, and psychological condition of the student;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nature of the student’s behavior;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presence of a weapon or material that can be weaponized;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extent and nature of resulting bodily injury to the student and other persons in the classroom;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prevention of physical intervention that will likely escalate behavior and result in bodily injury.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79.51A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