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281—14.7</w:t>
      </w:r>
      <w:r>
        <w:rPr>
          <w:rFonts w:ascii="Times New Roman" w:hAnsi="Times New Roman"/>
          <w:b/>
          <w:i w:val="false"/>
          <w:color w:val="000000"/>
          <w:sz w:val="22"/>
        </w:rPr>
        <w:t xml:space="preserve">(279)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“Assault”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708.1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“Bodily injury”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“injury”</w:t>
      </w:r>
      <w:r>
        <w:rPr>
          <w:rFonts w:ascii="Times New Roman" w:hAnsi="Times New Roman"/>
          <w:b w:val="false"/>
          <w:i w:val="false"/>
          <w:color w:val="000000"/>
          <w:sz w:val="22"/>
        </w:rPr>
        <w:t> </w:t>
      </w:r>
      <w:r>
        <w:rPr>
          <w:rFonts w:ascii="Times New Roman" w:hAnsi="Times New Roman"/>
          <w:b w:val="false"/>
          <w:i w:val="false"/>
          <w:color w:val="000000"/>
          <w:sz w:val="22"/>
        </w:rPr>
        <w:t>means physical pain, illness, or any other impairment of physical condition. For purposes of required reporting, the injury is to be the result of intentional act and not accidental and a physical injury to a person’s body that is apparent within 24 hours after the incident and may include damage to any bodily tissue to the extent that the tissue must undergo a healing process in order to be restored to a sound and healthy condition. Mental or verbal insult is not covered by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“Classroom clear”</w:t>
      </w:r>
      <w:r>
        <w:rPr>
          <w:rFonts w:ascii="Times New Roman" w:hAnsi="Times New Roman"/>
          <w:b w:val="false"/>
          <w:i w:val="false"/>
          <w:color w:val="000000"/>
          <w:sz w:val="22"/>
        </w:rPr>
        <w:t> </w:t>
      </w:r>
      <w:r>
        <w:rPr>
          <w:rFonts w:ascii="Times New Roman" w:hAnsi="Times New Roman"/>
          <w:b w:val="false"/>
          <w:i w:val="false"/>
          <w:color w:val="000000"/>
          <w:sz w:val="22"/>
        </w:rPr>
        <w:t>means clearing all other students out of the classroom to calm a child or to address disruption by a child. It is not necessary to use the phrase “classroom clear” to be covered by this division. The mere use of the term “classroom clear” does not bring that activity within the coverage of this division. Using another term for a “classroom clear” does not remove that activity from the coverage of this division. A classroom clear is not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Removing other students from a classroom to preserve a student’s dignity/privacy in the event of a medical emergency, health issue, or both,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Emergency procedures a school/district may use in the event of a school crisis or natural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“Classroom management”</w:t>
      </w:r>
      <w:r>
        <w:rPr>
          <w:rFonts w:ascii="Times New Roman" w:hAnsi="Times New Roman"/>
          <w:b w:val="false"/>
          <w:i w:val="false"/>
          <w:color w:val="000000"/>
          <w:sz w:val="22"/>
        </w:rPr>
        <w:t> </w:t>
      </w:r>
      <w:r>
        <w:rPr>
          <w:rFonts w:ascii="Times New Roman" w:hAnsi="Times New Roman"/>
          <w:b w:val="false"/>
          <w:i w:val="false"/>
          <w:color w:val="000000"/>
          <w:sz w:val="22"/>
        </w:rPr>
        <w:t>means the set of skills, practices, and strategies teachers use to maintain productive and prosocial behaviors that enable effective instruction in whole class or small group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“Evidence-based”</w:t>
      </w:r>
      <w:r>
        <w:rPr>
          <w:rFonts w:ascii="Times New Roman" w:hAnsi="Times New Roman"/>
          <w:b w:val="false"/>
          <w:i w:val="false"/>
          <w:color w:val="000000"/>
          <w:sz w:val="22"/>
        </w:rPr>
        <w:t> </w:t>
      </w:r>
      <w:r>
        <w:rPr>
          <w:rFonts w:ascii="Times New Roman" w:hAnsi="Times New Roman"/>
          <w:b w:val="false"/>
          <w:i w:val="false"/>
          <w:color w:val="000000"/>
          <w:sz w:val="22"/>
        </w:rPr>
        <w:t>means an activity, strategy or intervention that demonstrates a significant effect on improving student outcomes or other relevant outcomes. Activities, strategies, or interventions with strong or moderate evidence should be prioritized.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included in the definition of “parent” in rule </w:t>
      </w:r>
      <w:hyperlink r:id="rId5">
        <w:r>
          <w:rPr>
            <w:rStyle w:val="Hyperlink"/>
            <w:rFonts w:ascii="Times New Roman" w:hAnsi="Times New Roman"/>
            <w:b w:val="false"/>
            <w:i w:val="false"/>
            <w:color w:val="000000"/>
            <w:sz w:val="22"/>
          </w:rPr>
          <w:t>281—41.30</w:t>
        </w:r>
      </w:hyperlink>
      <w:r>
        <w:rPr>
          <w:rFonts w:ascii="Times New Roman" w:hAnsi="Times New Roman"/>
          <w:b w:val="false"/>
          <w:i w:val="false"/>
          <w:color w:val="000000"/>
          <w:sz w:val="22"/>
        </w:rPr>
        <w:t>(256B,34CFR300) and also includes an individual authorized to make decisions for the child pursuant to a power of attorney for temporary delegation of custody or for making educational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6">
        <w:r>
          <w:rPr>
            <w:rStyle w:val="Hyperlink"/>
            <w:rFonts w:ascii="Times New Roman" w:hAnsi="Times New Roman"/>
            <w:b w:val="false"/>
            <w:i w:val="false"/>
            <w:color w:val="000000"/>
            <w:sz w:val="22"/>
          </w:rPr>
          <w:t>281—103.2</w:t>
        </w:r>
      </w:hyperlink>
      <w:r>
        <w:rPr>
          <w:rFonts w:ascii="Times New Roman" w:hAnsi="Times New Roman"/>
          <w:b w:val="false"/>
          <w:i w:val="false"/>
          <w:color w:val="000000"/>
          <w:sz w:val="22"/>
        </w:rPr>
        <w:t>(256B,280).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“Property damage”</w:t>
      </w:r>
      <w:r>
        <w:rPr>
          <w:rFonts w:ascii="Times New Roman" w:hAnsi="Times New Roman"/>
          <w:b w:val="false"/>
          <w:i w:val="false"/>
          <w:color w:val="000000"/>
          <w:sz w:val="22"/>
        </w:rPr>
        <w:t> </w:t>
      </w:r>
      <w:r>
        <w:rPr>
          <w:rFonts w:ascii="Times New Roman" w:hAnsi="Times New Roman"/>
          <w:b w:val="false"/>
          <w:i w:val="false"/>
          <w:color w:val="000000"/>
          <w:sz w:val="22"/>
        </w:rPr>
        <w:t>means serious damage to property of significant monetary value or significant nonmonetary value or importance because of violence. For purposes of required reporting, the property damage must be the result of intentional act and not accidental. In assessing significant nonmonetary value for purposes of this definition, the following will be considered: the property is not of significant monetary value but difficult to replace or its loss or damage impedes learning, or an object(s) used as a weapon resulting in damage to the object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“Reasonable and necessary force”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force, and no more, which a reasonable person would judge to be necessary under the circumstances that existed at the time, that is not intended to cause pain, and that does not exceed the degree or duration needed to accomplish the purposes set forth in rule </w:t>
      </w:r>
      <w:hyperlink r:id="rId7">
        <w:r>
          <w:rPr>
            <w:rStyle w:val="Hyperlink"/>
            <w:rFonts w:ascii="Times New Roman" w:hAnsi="Times New Roman"/>
            <w:b w:val="false"/>
            <w:i w:val="false"/>
            <w:color w:val="000000"/>
            <w:sz w:val="22"/>
          </w:rPr>
          <w:t>281—103.5</w:t>
        </w:r>
      </w:hyperlink>
      <w:r>
        <w:rPr>
          <w:rFonts w:ascii="Times New Roman" w:hAnsi="Times New Roman"/>
          <w:b w:val="false"/>
          <w:i w:val="false"/>
          <w:color w:val="000000"/>
          <w:sz w:val="22"/>
        </w:rPr>
        <w:t>(256B,280).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district”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Iowa public school district directly supported in whole or in part by tax dollars, as defined in Iowa Code section </w:t>
      </w:r>
      <w:hyperlink r:id="rId8">
        <w:r>
          <w:rPr>
            <w:rStyle w:val="Hyperlink"/>
            <w:rFonts w:ascii="Times New Roman" w:hAnsi="Times New Roman"/>
            <w:b w:val="false"/>
            <w:i w:val="false"/>
            <w:color w:val="000000"/>
            <w:sz w:val="22"/>
          </w:rPr>
          <w:t>280.2</w:t>
        </w:r>
      </w:hyperlink>
      <w:r>
        <w:rPr>
          <w:rFonts w:ascii="Times New Roman" w:hAnsi="Times New Roman"/>
          <w:b w:val="false"/>
          <w:i w:val="false"/>
          <w:color w:val="000000"/>
          <w:sz w:val="22"/>
        </w:rPr>
        <w:t xml:space="preserve">, and with the power and jurisdiction provided by Iowa Code section </w:t>
      </w:r>
      <w:hyperlink r:id="rId9">
        <w:r>
          <w:rPr>
            <w:rStyle w:val="Hyperlink"/>
            <w:rFonts w:ascii="Times New Roman" w:hAnsi="Times New Roman"/>
            <w:b w:val="false"/>
            <w:i w:val="false"/>
            <w:color w:val="000000"/>
            <w:sz w:val="22"/>
          </w:rPr>
          <w:t>274.1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“Social-emotional-behavioral health”</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“SEBH”</w:t>
      </w:r>
      <w:r>
        <w:rPr>
          <w:rFonts w:ascii="Times New Roman" w:hAnsi="Times New Roman"/>
          <w:b w:val="false"/>
          <w:i w:val="false"/>
          <w:color w:val="000000"/>
          <w:sz w:val="22"/>
        </w:rPr>
        <w:t> </w:t>
      </w:r>
      <w:r>
        <w:rPr>
          <w:rFonts w:ascii="Times New Roman" w:hAnsi="Times New Roman"/>
          <w:b w:val="false"/>
          <w:i w:val="false"/>
          <w:color w:val="000000"/>
          <w:sz w:val="22"/>
        </w:rPr>
        <w:t>means social, emotional, behavioral and mental well-being that affects how one thinks, feels, communicates, acts, and learns. These contribute to resilience and to how one relates to others, responds to stress and emotions, and makes choices. Foundational knowledge and skills that promote SEBH include self-awareness, self-management, responsible decision-making, social awareness, and relationship skills that support positive well-being and academic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“Therapeutic classroom”</w:t>
      </w:r>
      <w:r>
        <w:rPr>
          <w:rFonts w:ascii="Times New Roman" w:hAnsi="Times New Roman"/>
          <w:b w:val="false"/>
          <w:i w:val="false"/>
          <w:color w:val="000000"/>
          <w:sz w:val="22"/>
        </w:rPr>
        <w:t> </w:t>
      </w:r>
      <w:r>
        <w:rPr>
          <w:rFonts w:ascii="Times New Roman" w:hAnsi="Times New Roman"/>
          <w:b w:val="false"/>
          <w:i w:val="false"/>
          <w:color w:val="000000"/>
          <w:sz w:val="22"/>
        </w:rPr>
        <w:t>means a classroom designed for the purpose of providing support for any student whose emotional, social, or behavioral needs interfere with the student’s ability to be successful in the current educational environment, with or without supports, until the student is able to successfully return to the student’s current education environment, with or without supports, including but not limited to the general education classroom. It is not necessary to use the phrase “therapeutic classroom” to be covered by this division. The mere use of the term “therapeutic classroom” does not bring those services or locations within the coverage of this division. Using another term for a “therapeutic classroom” does not remove that service or location from the coverage of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08.1.pdf" Type="http://schemas.openxmlformats.org/officeDocument/2006/relationships/hyperlink" Id="rId4"/>
    <Relationship TargetMode="External" Target="https://www.legis.iowa.gov/docs/iac/rule/281.41.30.pdf" Type="http://schemas.openxmlformats.org/officeDocument/2006/relationships/hyperlink" Id="rId5"/>
    <Relationship TargetMode="External" Target="https://www.legis.iowa.gov/docs/iac/rule/281.103.2.pdf" Type="http://schemas.openxmlformats.org/officeDocument/2006/relationships/hyperlink" Id="rId6"/>
    <Relationship TargetMode="External" Target="https://www.legis.iowa.gov/docs/iac/rule/281.103.5.pdf" Type="http://schemas.openxmlformats.org/officeDocument/2006/relationships/hyperlink" Id="rId7"/>
    <Relationship TargetMode="External" Target="https://www.legis.iowa.gov/docs/ico/chapter/280.2.pdf" Type="http://schemas.openxmlformats.org/officeDocument/2006/relationships/hyperlink" Id="rId8"/>
    <Relationship TargetMode="External" Target="https://www.legis.iowa.gov/docs/ico/chapter/274.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