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281—14.6</w:t>
      </w:r>
      <w:r>
        <w:rPr>
          <w:rFonts w:ascii="Times New Roman" w:hAnsi="Times New Roman"/>
          <w:b/>
          <w:i w:val="false"/>
          <w:color w:val="000000"/>
          <w:sz w:val="22"/>
        </w:rPr>
        <w:t xml:space="preserve">(279) </w:t>
      </w:r>
      <w:r>
        <w:rPr>
          <w:rFonts w:ascii="Times New Roman" w:hAnsi="Times New Roman"/>
          <w:b/>
          <w:i w:val="false"/>
          <w:color w:val="000000"/>
          <w:sz w:val="22"/>
        </w:rPr>
        <w:t xml:space="preserve">Purpose and objectives: comprehensive healthy and safe learning environments. </w:t>
      </w:r>
      <w:r>
        <w:rPr>
          <w:rFonts w:ascii="Times New Roman" w:hAnsi="Times New Roman"/>
          <w:b w:val="false"/>
          <w:i w:val="false"/>
          <w:color w:val="000000"/>
          <w:sz w:val="22"/>
        </w:rPr>
        <w:t xml:space="preserve">The purpose of this division is to provide uniform definitions and rules for public schools, accredited nonpublic schools, and area education agencies (AEAs) regarding standards for professional development and training in evidence-based classroom management practices, evidence-based interventions, appropriate and inappropriate responses to behavior in the classroom that present an imminent threat of bodily injury to a student or another person, and in accordance with </w:t>
      </w:r>
      <w:hyperlink r:id="rId4">
        <w:r>
          <w:rPr>
            <w:rStyle w:val="Hyperlink"/>
            <w:rFonts w:ascii="Times New Roman" w:hAnsi="Times New Roman"/>
            <w:b w:val="false"/>
            <w:i w:val="false"/>
            <w:color w:val="000000"/>
            <w:sz w:val="22"/>
          </w:rPr>
          <w:t>281—Chapter 103</w:t>
        </w:r>
      </w:hyperlink>
      <w:r>
        <w:rPr>
          <w:rFonts w:ascii="Times New Roman" w:hAnsi="Times New Roman"/>
          <w:b w:val="false"/>
          <w:i w:val="false"/>
          <w:color w:val="000000"/>
          <w:sz w:val="22"/>
        </w:rPr>
        <w:t xml:space="preserve"> for the reasonable, necessary, and appropriate physical restraint of a student. This division gives clear guidance that classroom clearance may be used only to terminate or prevent a threat of bodily injury and clarifies the required parental notification, response, and reporting of school behavior challenges.</w:t>
      </w:r>
    </w:p>
    <w:p>
      <w:pPr>
        <w:spacing w:before="0" w:after="0"/>
        <w:ind w:left="120"/>
        <w:jc w:val="both"/>
      </w:pPr>
      <w:r>
        <w:rPr>
          <w:rFonts w:ascii="Times New Roman" w:hAnsi="Times New Roman"/>
          <w:b w:val="false"/>
          <w:i w:val="false"/>
          <w:color w:val="000000"/>
          <w:sz w:val="22"/>
        </w:rPr>
        <w:t xml:space="preserve">This division also provides clarification of Iowa AEAs’, public school districts’, and accredited nonpublic school districts’ responsibilities and the responsibilities of behavioral health service providers under Iowa Code section </w:t>
      </w:r>
      <w:hyperlink r:id="rId5">
        <w:r>
          <w:rPr>
            <w:rStyle w:val="Hyperlink"/>
            <w:rFonts w:ascii="Times New Roman" w:hAnsi="Times New Roman"/>
            <w:b w:val="false"/>
            <w:i w:val="false"/>
            <w:color w:val="000000"/>
            <w:sz w:val="22"/>
          </w:rPr>
          <w:t>280A.1</w:t>
        </w:r>
      </w:hyperlink>
      <w:r>
        <w:rPr>
          <w:rFonts w:ascii="Times New Roman" w:hAnsi="Times New Roman"/>
          <w:b w:val="false"/>
          <w:i w:val="false"/>
          <w:color w:val="000000"/>
          <w:sz w:val="22"/>
        </w:rPr>
        <w:t>, should they choose to enter into agreements for behavioral health screenings or telehealth services.</w:t>
      </w:r>
    </w:p>
    <w:p>
      <w:pPr>
        <w:spacing w:before="0" w:after="0"/>
        <w:ind w:left="120"/>
        <w:jc w:val="both"/>
      </w:pPr>
      <w:r>
        <w:rPr>
          <w:rFonts w:ascii="Times New Roman" w:hAnsi="Times New Roman"/>
          <w:b w:val="false"/>
          <w:i w:val="false"/>
          <w:color w:val="000000"/>
          <w:sz w:val="22"/>
        </w:rPr>
        <w:t>This division is intended to promote a comprehensive safe learning space for learners and school staff, and to promote the dignity, care, safety, welfare, and security of each child and the school community; encourage the use of proactive, effective, and evidence- and research-based strategies resulting in increased learning for all students; lessen disruption to instruction; and expand supports for educators through teacher preparation, revised protocols, training and professional learning.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7788C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sectPr>
      <w:footerReference r:id="rId6"/>
      <w:pgSz w:w="11907" w:h="16839" w:code="9"/>
      <w:pgMar w:top="1440" w:right="1440" w:bottom="1440" w:left="1440"/>
    </w:sectPr>
  </w:body>
</w:document>
</file>

<file path=word/footer.xml><?xml version="1.0" encoding="utf-8"?>
<w:ftr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chapter/281.103.pdf" Type="http://schemas.openxmlformats.org/officeDocument/2006/relationships/hyperlink" Id="rId4"/>
    <Relationship TargetMode="External" Target="https://www.legis.iowa.gov/docs/ico/chapter/280A.1.pdf" Type="http://schemas.openxmlformats.org/officeDocument/2006/relationships/hyperlink" Id="rId5"/>
    <Relationship Target="footer.xml" Type="http://schemas.openxmlformats.org/officeDocument/2006/relationships/footer" Id="rId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