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Suicide prevention, identification of adverse childhood experiences, and strategies to mitigate toxic stress response.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incorporated by this reference.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9.7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