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281—14.22</w:t>
      </w:r>
      <w:r>
        <w:rPr>
          <w:rFonts w:ascii="Times New Roman" w:hAnsi="Times New Roman"/>
          <w:b/>
          <w:i w:val="false"/>
          <w:color w:val="000000"/>
          <w:sz w:val="22"/>
        </w:rPr>
        <w:t xml:space="preserve">(280A) </w:t>
      </w:r>
      <w:r>
        <w:rPr>
          <w:rFonts w:ascii="Times New Roman" w:hAnsi="Times New Roman"/>
          <w:b/>
          <w:i w:val="false"/>
          <w:color w:val="000000"/>
          <w:sz w:val="22"/>
        </w:rPr>
        <w:t xml:space="preserve">Establishment of provider-patient relationship for telehealth in school setting.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4">
        <w:r>
          <w:rPr>
            <w:rStyle w:val="Hyperlink"/>
            <w:rFonts w:ascii="Times New Roman" w:hAnsi="Times New Roman"/>
            <w:b w:val="false"/>
            <w:i w:val="false"/>
            <w:color w:val="000000"/>
            <w:sz w:val="22"/>
          </w:rPr>
          <w:t>280A.3(1)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280A.3(3)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280A.3(4)</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14.22(2)</w:t>
      </w:r>
      <w:r>
        <w:rPr>
          <w:rFonts w:ascii="Times New Roman" w:hAnsi="Times New Roman"/>
          <w:b w:val="false"/>
          <w:i w:val="false"/>
          <w:color w:val="000000"/>
          <w:sz w:val="22"/>
        </w:rPr>
        <w:t> </w:t>
      </w:r>
      <w:r>
        <w:rPr>
          <w:rFonts w:ascii="Times New Roman" w:hAnsi="Times New Roman"/>
          <w:b w:val="false"/>
          <w:i w:val="false"/>
          <w:color w:val="000000"/>
          <w:sz w:val="22"/>
        </w:rPr>
        <w:t>If a mental health professional provides behavioral health services via telehealth on school/AEA premises, the mental health professional will first establish a valid provider-patient relationship. The provider-patient relationship is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student, with the consent of the student’s parent or guardian when the student has not yet reached the age of majority, seeks help from a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mental health professional agrees to provide treatment of the student;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student’s parent or guardian agrees to have the student treated by the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14.22(3)</w:t>
      </w:r>
      <w:r>
        <w:rPr>
          <w:rFonts w:ascii="Times New Roman" w:hAnsi="Times New Roman"/>
          <w:b w:val="false"/>
          <w:i w:val="false"/>
          <w:color w:val="000000"/>
          <w:sz w:val="22"/>
        </w:rPr>
        <w:t> </w:t>
      </w:r>
      <w:r>
        <w:rPr>
          <w:rFonts w:ascii="Times New Roman" w:hAnsi="Times New Roman"/>
          <w:b w:val="false"/>
          <w:i w:val="false"/>
          <w:color w:val="000000"/>
          <w:sz w:val="22"/>
        </w:rPr>
        <w:t>If a provider-patient relationship is established and the student has not yet reached the age of majority, parent or guardian consent will be obtained prior to the student receiving behavioral health services via telehealth in a school or AEA setting and is necessary each academic year that the student receives telehealth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80A.3.pdf" Type="http://schemas.openxmlformats.org/officeDocument/2006/relationships/hyperlink" Id="rId4"/>
    <Relationship TargetMode="External" Target="https://www.legis.iowa.gov/docs/ico/chapter/280A.3.pdf" Type="http://schemas.openxmlformats.org/officeDocument/2006/relationships/hyperlink" Id="rId5"/>
    <Relationship TargetMode="External" Target="https://www.legis.iowa.gov/docs/ico/chapter/280A.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