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281—14.21</w:t>
      </w:r>
      <w:r>
        <w:rPr>
          <w:rFonts w:ascii="Times New Roman" w:hAnsi="Times New Roman"/>
          <w:b/>
          <w:i w:val="false"/>
          <w:color w:val="000000"/>
          <w:sz w:val="22"/>
        </w:rPr>
        <w:t xml:space="preserve">(280A) </w:t>
      </w:r>
      <w:r>
        <w:rPr>
          <w:rFonts w:ascii="Times New Roman" w:hAnsi="Times New Roman"/>
          <w:b/>
          <w:i w:val="false"/>
          <w:color w:val="000000"/>
          <w:sz w:val="22"/>
        </w:rPr>
        <w:t xml:space="preserve">Behavioral health screenings in school settings.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14.21(1)</w:t>
      </w:r>
      <w:r>
        <w:rPr>
          <w:rFonts w:ascii="Times New Roman" w:hAnsi="Times New Roman"/>
          <w:b w:val="false"/>
          <w:i w:val="false"/>
          <w:color w:val="000000"/>
          <w:sz w:val="22"/>
        </w:rPr>
        <w:t> </w:t>
      </w:r>
      <w:r>
        <w:rPr>
          <w:rFonts w:ascii="Times New Roman" w:hAnsi="Times New Roman"/>
          <w:b w:val="false"/>
          <w:i w:val="false"/>
          <w:color w:val="000000"/>
          <w:sz w:val="22"/>
        </w:rPr>
        <w:t>A school district, an accredited nonpublic school, or an AEA may contract with a mental health professional or a nationally accredited behavioral health care organization in order to provide universal behavioral health screenings to students. If the school district, accredited nonpublic school, or area education agency contracts with mental health professionals to conduct behavioral health screenings, the following paragraphs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screenings will be administered with the contracted mental health professional present, using a screener approved by the department, in consultation with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 district, accredited nonpublic school, or AEA that contracts for on-site student behavioral health screenings will obtain written parent or guardian consent or, in the case of a student who has reached the age of majority, the student’s written consent prior to the student’s participating in each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any point before or during the screening, a student may opt out or discontinue participation in the screening without retribution.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14.21(2)</w:t>
      </w:r>
      <w:r>
        <w:rPr>
          <w:rFonts w:ascii="Times New Roman" w:hAnsi="Times New Roman"/>
          <w:b w:val="false"/>
          <w:i w:val="false"/>
          <w:color w:val="000000"/>
          <w:sz w:val="22"/>
        </w:rPr>
        <w:t> </w:t>
      </w:r>
      <w:r>
        <w:rPr>
          <w:rFonts w:ascii="Times New Roman" w:hAnsi="Times New Roman"/>
          <w:b w:val="false"/>
          <w:i w:val="false"/>
          <w:color w:val="000000"/>
          <w:sz w:val="22"/>
        </w:rPr>
        <w:t>The parental consent is to allow for the mental health professional to disclose the screening results to the school or AEA if there is a credible threat to the health and safety of the student or others and provide the appropriate emergency contact. The parental consent may allow for the mental health professional to disclose screening information to the school or AEA in order to support the student(s) who may need intervention that could be provided through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14.21(3)</w:t>
      </w:r>
      <w:r>
        <w:rPr>
          <w:rFonts w:ascii="Times New Roman" w:hAnsi="Times New Roman"/>
          <w:b w:val="false"/>
          <w:i w:val="false"/>
          <w:color w:val="000000"/>
          <w:sz w:val="22"/>
        </w:rPr>
        <w:t> </w:t>
      </w:r>
      <w:r>
        <w:rPr>
          <w:rFonts w:ascii="Times New Roman" w:hAnsi="Times New Roman"/>
          <w:b w:val="false"/>
          <w:i w:val="false"/>
          <w:color w:val="000000"/>
          <w:sz w:val="22"/>
        </w:rPr>
        <w:t>The school district or AEA will ensure that the mental health professionals contracted to administer the screeners are qualified to administer the selected behavioral health screener.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14.21(4)</w:t>
      </w:r>
      <w:r>
        <w:rPr>
          <w:rFonts w:ascii="Times New Roman" w:hAnsi="Times New Roman"/>
          <w:b w:val="false"/>
          <w:i w:val="false"/>
          <w:color w:val="000000"/>
          <w:sz w:val="22"/>
        </w:rPr>
        <w:t> </w:t>
      </w:r>
      <w:r>
        <w:rPr>
          <w:rFonts w:ascii="Times New Roman" w:hAnsi="Times New Roman"/>
          <w:b w:val="false"/>
          <w:i w:val="false"/>
          <w:color w:val="000000"/>
          <w:sz w:val="22"/>
        </w:rPr>
        <w:t>The school district or AEA will have procedures to secure and limit the access to health information to comply with the Health Insurance Portability and Accountability Act (HIPAA), effective February 7, 2024, in accordance with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14.21(5)</w:t>
      </w:r>
      <w:r>
        <w:rPr>
          <w:rFonts w:ascii="Times New Roman" w:hAnsi="Times New Roman"/>
          <w:b w:val="false"/>
          <w:i w:val="false"/>
          <w:color w:val="000000"/>
          <w:sz w:val="22"/>
        </w:rPr>
        <w:t> </w:t>
      </w:r>
      <w:r>
        <w:rPr>
          <w:rFonts w:ascii="Times New Roman" w:hAnsi="Times New Roman"/>
          <w:b w:val="false"/>
          <w:i w:val="false"/>
          <w:color w:val="000000"/>
          <w:sz w:val="22"/>
        </w:rPr>
        <w:t>If a mental health professional conducts the screening and determines that a student needs additional behavioral health services, the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Notifies the parent or guardian of the student of the results of the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notify the student’s primary care provider, with parent or guardian consent, or the consent of the student who has reached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May provide a list of local primary care providers to the parent or guardian if the student does not have a primary care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